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3360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何志月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现在物流管理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>电子商务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>270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hint="eastAsia" w:ascii="Arial" w:eastAsia="宋体"/>
          <w:sz w:val="18"/>
          <w:szCs w:val="18"/>
          <w:lang w:eastAsia="zh-CN"/>
        </w:rPr>
      </w:pPr>
      <w:r>
        <w:rPr>
          <w:rFonts w:hint="eastAsia" w:eastAsia="宋体"/>
          <w:sz w:val="18"/>
          <w:szCs w:val="18"/>
          <w:lang w:eastAsia="zh-CN"/>
        </w:rPr>
        <w:t xml:space="preserve"> </w:t>
      </w: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判断题（正确题打√，错误题打×，（每题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分，共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分）</w:t>
      </w:r>
    </w:p>
    <w:p>
      <w:pPr>
        <w:pStyle w:val="2"/>
        <w:numPr>
          <w:ilvl w:val="0"/>
          <w:numId w:val="0"/>
        </w:numPr>
        <w:spacing w:before="78" w:line="219" w:lineRule="auto"/>
        <w:ind w:firstLine="1054" w:firstLineChars="500"/>
        <w:outlineLvl w:val="0"/>
        <w:rPr>
          <w:rFonts w:hint="eastAsia" w:asciiTheme="minorEastAsia" w:hAnsiTheme="minorEastAsia" w:eastAsiaTheme="minorEastAsia" w:cstheme="minorEastAsia"/>
          <w:b/>
          <w:snapToGrid/>
          <w:kern w:val="2"/>
          <w:sz w:val="21"/>
          <w:szCs w:val="21"/>
          <w:lang w:val="en-US" w:eastAsia="zh-CN" w:bidi="ar-SA"/>
        </w:rPr>
      </w:pPr>
    </w:p>
    <w:p>
      <w:pPr>
        <w:widowControl/>
        <w:numPr>
          <w:ilvl w:val="0"/>
          <w:numId w:val="2"/>
        </w:numPr>
        <w:shd w:val="clear" w:color="auto" w:fill="FFFFFF"/>
        <w:spacing w:line="240" w:lineRule="atLeast"/>
        <w:ind w:left="1066" w:leftChars="0" w:firstLine="0" w:firstLine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服务企业不存在物流问题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（ ）</w:t>
      </w:r>
    </w:p>
    <w:p>
      <w:pPr>
        <w:pStyle w:val="2"/>
        <w:numPr>
          <w:ilvl w:val="0"/>
          <w:numId w:val="2"/>
        </w:numPr>
        <w:spacing w:before="78" w:line="219" w:lineRule="auto"/>
        <w:ind w:left="1066" w:leftChars="0" w:firstLine="0" w:firstLineChars="0"/>
        <w:outlineLvl w:val="0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顾客服务是比顾客满意更广泛的概念（ ）</w:t>
      </w:r>
    </w:p>
    <w:p>
      <w:pPr>
        <w:widowControl/>
        <w:numPr>
          <w:ilvl w:val="0"/>
          <w:numId w:val="2"/>
        </w:numPr>
        <w:shd w:val="clear" w:color="auto" w:fill="FFFFFF"/>
        <w:spacing w:line="240" w:lineRule="atLeast"/>
        <w:ind w:left="1066" w:leftChars="0" w:firstLine="0" w:firstLine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采购是企业物流管理的起始点，按需采购是前提原则，要尽量做到费用最小。（ ）</w:t>
      </w:r>
    </w:p>
    <w:p>
      <w:pPr>
        <w:widowControl/>
        <w:numPr>
          <w:ilvl w:val="0"/>
          <w:numId w:val="2"/>
        </w:numPr>
        <w:shd w:val="clear" w:color="auto" w:fill="FFFFFF"/>
        <w:spacing w:line="240" w:lineRule="atLeast"/>
        <w:ind w:left="1066" w:leftChars="0" w:firstLine="0" w:firstLine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装卸搬运改变了物料的时间或空间价值，因此不会引起人们的重视。（ ）</w:t>
      </w:r>
    </w:p>
    <w:p>
      <w:pPr>
        <w:widowControl/>
        <w:numPr>
          <w:ilvl w:val="0"/>
          <w:numId w:val="2"/>
        </w:numPr>
        <w:shd w:val="clear" w:color="auto" w:fill="FFFFFF"/>
        <w:spacing w:line="240" w:lineRule="atLeast"/>
        <w:ind w:left="1066" w:leftChars="0" w:firstLine="0" w:firstLine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降低物流成本必然以牺牲物流服务质量为条件。（ ）</w:t>
      </w:r>
    </w:p>
    <w:p>
      <w:pPr>
        <w:widowControl/>
        <w:numPr>
          <w:ilvl w:val="0"/>
          <w:numId w:val="2"/>
        </w:numPr>
        <w:shd w:val="clear" w:color="auto" w:fill="FFFFFF"/>
        <w:spacing w:line="240" w:lineRule="atLeast"/>
        <w:ind w:left="1066" w:leftChars="0" w:firstLine="0" w:firstLine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由条形码与扫描设备所构成的自动识别技术在物流领域被广泛应用，是因为</w:t>
      </w:r>
    </w:p>
    <w:p>
      <w:pPr>
        <w:widowControl/>
        <w:numPr>
          <w:numId w:val="0"/>
        </w:numPr>
        <w:shd w:val="clear" w:color="auto" w:fill="FFFFFF"/>
        <w:spacing w:line="240" w:lineRule="atLeast"/>
        <w:ind w:left="1066" w:leftChars="0" w:firstLine="420" w:firstLineChars="2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它能提高生产率，减少差错。（ ）</w:t>
      </w:r>
    </w:p>
    <w:p>
      <w:pPr>
        <w:widowControl/>
        <w:shd w:val="clear" w:color="auto" w:fill="FFFFFF"/>
        <w:spacing w:line="240" w:lineRule="atLeast"/>
        <w:ind w:left="1440" w:hanging="840" w:hangingChars="4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7.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包装具有三大特性：保护性、单位集中性、促进销售。　　（ ）</w:t>
      </w: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="1066" w:left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现代物流只存在于流通过程中　　（ ）</w:t>
      </w:r>
    </w:p>
    <w:p>
      <w:pPr>
        <w:widowControl/>
        <w:shd w:val="clear" w:color="auto" w:fill="FFFFFF"/>
        <w:spacing w:line="240" w:lineRule="atLeast"/>
        <w:ind w:firstLine="1050" w:firstLineChars="5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与集货中心、分货中心相比，转运中心的储存能力弱。　（ ）</w:t>
      </w:r>
    </w:p>
    <w:p>
      <w:pPr>
        <w:widowControl/>
        <w:shd w:val="clear" w:color="auto" w:fill="FFFFFF"/>
        <w:spacing w:line="240" w:lineRule="atLeast"/>
        <w:ind w:firstLine="1050" w:firstLineChars="50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生产均衡化是准时制管理实施的唯一条件。（ 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1269365</wp:posOffset>
                </wp:positionH>
                <wp:positionV relativeFrom="paragraph">
                  <wp:posOffset>170815</wp:posOffset>
                </wp:positionV>
                <wp:extent cx="513080" cy="425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4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6" w:lineRule="exact"/>
                              <w:ind w:left="2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b/>
                                <w:bCs/>
                                <w:spacing w:val="9"/>
                                <w:position w:val="-2"/>
                                <w:sz w:val="19"/>
                                <w:szCs w:val="19"/>
                              </w:rPr>
                              <w:t>---</w:t>
                            </w:r>
                            <w:r>
                              <w:rPr>
                                <w:position w:val="-3"/>
                                <w:sz w:val="19"/>
                                <w:szCs w:val="19"/>
                              </w:rPr>
                              <w:drawing>
                                <wp:inline distT="0" distB="0" distL="0" distR="0">
                                  <wp:extent cx="20320" cy="16510"/>
                                  <wp:effectExtent l="0" t="0" r="10160" b="6350"/>
                                  <wp:docPr id="18" name="IM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 18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3" cy="168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eastAsia="Arial" w:cs="Arial"/>
                                <w:b/>
                                <w:bCs/>
                                <w:position w:val="-2"/>
                                <w:sz w:val="19"/>
                                <w:szCs w:val="19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eastAsia="Arial" w:cs="Arial"/>
                                <w:b/>
                                <w:bCs/>
                                <w:spacing w:val="9"/>
                                <w:position w:val="-2"/>
                                <w:sz w:val="19"/>
                                <w:szCs w:val="19"/>
                              </w:rPr>
                              <w:t>---</w:t>
                            </w:r>
                            <w:r>
                              <w:rPr>
                                <w:position w:val="-3"/>
                                <w:sz w:val="19"/>
                                <w:szCs w:val="19"/>
                              </w:rPr>
                              <w:drawing>
                                <wp:inline distT="0" distB="0" distL="0" distR="0">
                                  <wp:extent cx="20320" cy="16510"/>
                                  <wp:effectExtent l="0" t="0" r="10160" b="6350"/>
                                  <wp:docPr id="20" name="IM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 20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3" cy="168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95pt;margin-top:13.45pt;height:3.35pt;width:40.4pt;z-index:251670528;mso-width-relative:page;mso-height-relative:page;" filled="f" stroked="f" coordsize="21600,21600" o:gfxdata="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xFdDN2AAAAAkBAAAPAAAAAAAAAAEAIAAAACIAAABkcnMvZG93bnJldi54bWxQSwECFAAU&#10;AAAACACHTuJAJ3MYqLgBAABwAwAADgAAAAAAAAABACAAAAAn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6" w:lineRule="exact"/>
                        <w:ind w:left="2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eastAsia="Arial" w:cs="Arial"/>
                          <w:b/>
                          <w:bCs/>
                          <w:spacing w:val="9"/>
                          <w:position w:val="-2"/>
                          <w:sz w:val="19"/>
                          <w:szCs w:val="19"/>
                        </w:rPr>
                        <w:t>---</w:t>
                      </w:r>
                      <w:r>
                        <w:rPr>
                          <w:position w:val="-3"/>
                          <w:sz w:val="19"/>
                          <w:szCs w:val="19"/>
                        </w:rPr>
                        <w:drawing>
                          <wp:inline distT="0" distB="0" distL="0" distR="0">
                            <wp:extent cx="20320" cy="16510"/>
                            <wp:effectExtent l="0" t="0" r="10160" b="6350"/>
                            <wp:docPr id="18" name="IM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 18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3" cy="168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eastAsia="Arial" w:cs="Arial"/>
                          <w:b/>
                          <w:bCs/>
                          <w:position w:val="-2"/>
                          <w:sz w:val="19"/>
                          <w:szCs w:val="19"/>
                        </w:rPr>
                        <w:t xml:space="preserve">     </w:t>
                      </w:r>
                      <w:r>
                        <w:rPr>
                          <w:rFonts w:ascii="Arial" w:hAnsi="Arial" w:eastAsia="Arial" w:cs="Arial"/>
                          <w:b/>
                          <w:bCs/>
                          <w:spacing w:val="9"/>
                          <w:position w:val="-2"/>
                          <w:sz w:val="19"/>
                          <w:szCs w:val="19"/>
                        </w:rPr>
                        <w:t>---</w:t>
                      </w:r>
                      <w:r>
                        <w:rPr>
                          <w:position w:val="-3"/>
                          <w:sz w:val="19"/>
                          <w:szCs w:val="19"/>
                        </w:rPr>
                        <w:drawing>
                          <wp:inline distT="0" distB="0" distL="0" distR="0">
                            <wp:extent cx="20320" cy="16510"/>
                            <wp:effectExtent l="0" t="0" r="10160" b="6350"/>
                            <wp:docPr id="20" name="IM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IM 20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3" cy="168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78" w:line="219" w:lineRule="auto"/>
        <w:ind w:left="1298"/>
        <w:outlineLvl w:val="0"/>
        <w:rPr>
          <w:rFonts w:hint="eastAsia" w:asciiTheme="minorEastAsia" w:hAnsiTheme="minorEastAsia" w:eastAsiaTheme="minorEastAsia" w:cstheme="minor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napToGrid/>
          <w:kern w:val="2"/>
          <w:sz w:val="21"/>
          <w:szCs w:val="21"/>
          <w:lang w:val="en-US" w:eastAsia="zh-CN" w:bidi="ar-SA"/>
        </w:rPr>
        <w:t>二、选择题（本大共 20 分，每小题 1分，共20 题。每小题只有一个正确选项）</w:t>
      </w:r>
      <w:r>
        <w:rPr>
          <w:rFonts w:hint="eastAsia" w:asciiTheme="minorEastAsia" w:hAnsiTheme="minorEastAsia" w:eastAsiaTheme="minorEastAsia" w:cstheme="minor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2"/>
        <w:spacing w:before="78" w:line="219" w:lineRule="auto"/>
        <w:ind w:left="1298"/>
        <w:outlineLvl w:val="0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1.专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门从事商品采购，短期储存、配货和送货业务的行业称为（ 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A.储运业　　B.货代业</w:t>
      </w:r>
    </w:p>
    <w:p>
      <w:pPr>
        <w:widowControl/>
        <w:shd w:val="clear" w:color="auto" w:fill="FFFFFF"/>
        <w:spacing w:line="240" w:lineRule="atLeast"/>
        <w:ind w:firstLine="1558" w:firstLineChars="742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C.配送业　　D.第三方物流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以下服务要素中属于交易后要素的是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A.系统柔性　B.订货周期的稳定性</w:t>
      </w:r>
    </w:p>
    <w:p>
      <w:pPr>
        <w:widowControl/>
        <w:shd w:val="clear" w:color="auto" w:fill="FFFFFF"/>
        <w:spacing w:line="240" w:lineRule="atLeast"/>
        <w:ind w:firstLine="1680" w:firstLineChars="8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C.替代产品　D.产品跟踪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最典型意义上的第三方物流企业是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A.操作性的物流企业　B.行业倾向的物流企业</w:t>
      </w:r>
    </w:p>
    <w:p>
      <w:pPr>
        <w:widowControl/>
        <w:shd w:val="clear" w:color="auto" w:fill="FFFFFF"/>
        <w:spacing w:line="240" w:lineRule="atLeast"/>
        <w:ind w:firstLine="72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C.多元化的物流企业　D.顾客化的物流企业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物流发展的总体趋势不包括（　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A.成本低廉化　B.物流信息化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C.物流自动化　D.物流精益化</w:t>
      </w:r>
    </w:p>
    <w:p>
      <w:pPr>
        <w:pStyle w:val="2"/>
        <w:spacing w:before="78" w:line="219" w:lineRule="auto"/>
        <w:outlineLvl w:val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适用于重点企业和重点项目支持的配送方式是（ 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A.定时定量定点配送　B.定时配送</w:t>
      </w:r>
    </w:p>
    <w:p>
      <w:pPr>
        <w:widowControl/>
        <w:shd w:val="clear" w:color="auto" w:fill="FFFFFF"/>
        <w:spacing w:line="240" w:lineRule="atLeast"/>
        <w:ind w:firstLine="72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C.即时配送　　D.定量配送</w:t>
      </w:r>
    </w:p>
    <w:p>
      <w:pPr>
        <w:widowControl/>
        <w:shd w:val="clear" w:color="auto" w:fill="FFFFFF"/>
        <w:spacing w:line="240" w:lineRule="atLeast"/>
        <w:ind w:left="420" w:leftChars="100" w:hanging="210" w:hanging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中小型企业间通过合理分工和协商，制定统一的计划，满足用户对货物需求的配送形式是（　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A.分散配送　　B.集中配送</w:t>
      </w:r>
    </w:p>
    <w:p>
      <w:pPr>
        <w:widowControl/>
        <w:shd w:val="clear" w:color="auto" w:fill="FFFFFF"/>
        <w:spacing w:line="240" w:lineRule="atLeast"/>
        <w:ind w:firstLine="72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C.共同配送　　D.成套配送.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实物配送阶段对物流的研究以（ ）为主要目标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A.生产过程　B.分销过程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C.企业内部　　D.社会物流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商流和物流的关系不包括（ 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A.有商流无物流　B.有物流无商流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C.输入流和输出流　D.有商流也有物流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通常顾客不满意的主要原因是　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A.数量短缺　B.送货延迟</w:t>
      </w:r>
    </w:p>
    <w:p>
      <w:pPr>
        <w:widowControl/>
        <w:shd w:val="clear" w:color="auto" w:fill="FFFFFF"/>
        <w:spacing w:line="240" w:lineRule="atLeast"/>
        <w:ind w:firstLine="72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C.产品破坏　D.产品质量或品种的问题</w:t>
      </w:r>
    </w:p>
    <w:p>
      <w:pPr>
        <w:spacing w:line="261" w:lineRule="auto"/>
        <w:ind w:firstLine="210" w:firstLineChars="100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企业的顾客服务标准和绩效在很大程度上受到（）的影响　　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A.少数顾客的特殊要求　B.竞争环境及行业传统</w:t>
      </w:r>
    </w:p>
    <w:p>
      <w:pPr>
        <w:widowControl/>
        <w:shd w:val="clear" w:color="auto" w:fill="FFFFFF"/>
        <w:spacing w:line="240" w:lineRule="atLeast"/>
        <w:ind w:firstLine="928" w:firstLineChars="442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C.销售人员　　D.企业的技术特征</w:t>
      </w:r>
    </w:p>
    <w:p>
      <w:pPr>
        <w:widowControl/>
        <w:shd w:val="clear" w:color="auto" w:fill="FFFFFF"/>
        <w:spacing w:line="240" w:lineRule="atLeast"/>
        <w:ind w:left="420" w:leftChars="100" w:hanging="210" w:hanging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港口是水运货物的集散地，又是水路运输工具的衔接点除供船舶停靠使用外，为了客货的运输，还必须与（）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交通衔接　　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A.航空　　B.公路</w:t>
      </w:r>
    </w:p>
    <w:p>
      <w:pPr>
        <w:pStyle w:val="2"/>
        <w:spacing w:before="78" w:line="219" w:lineRule="auto"/>
        <w:ind w:firstLine="1050" w:firstLineChars="500"/>
        <w:outlineLvl w:val="0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C.陆路　　D.铁路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对流运输又称（　）</w:t>
      </w:r>
    </w:p>
    <w:p>
      <w:pPr>
        <w:widowControl/>
        <w:shd w:val="clear" w:color="auto" w:fill="FFFFFF"/>
        <w:spacing w:line="240" w:lineRule="atLeast"/>
        <w:ind w:left="720" w:hanging="420" w:hangingChars="2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A.相向运输　　B.迂回运输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</w:t>
      </w:r>
    </w:p>
    <w:p>
      <w:pPr>
        <w:widowControl/>
        <w:shd w:val="clear" w:color="auto" w:fill="FFFFFF"/>
        <w:spacing w:line="240" w:lineRule="atLeast"/>
        <w:ind w:left="596" w:leftChars="284" w:firstLine="630" w:firstLineChars="3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C.重复运输　　D.过远运输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基于供应链管理模式的采购策略，对供应商的数量要求是（　）　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A.越多越好　　B.多，但不是越多越好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C.少数几家或一家　D.只能是一家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用包装衬垫应防止容器物体移动并起到（　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A.防腐作用　　B.减震作用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C.防霉作用　　D.防辐射作</w:t>
      </w: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.搬运活性指数共分为（　）　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A.2个等级　　B.3个等级</w: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C.4个等级　　D.5个等级</w: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330" w:lineRule="auto"/>
        <w:rPr>
          <w:rFonts w:ascii="Arial"/>
          <w:sz w:val="21"/>
        </w:rPr>
      </w:pP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6432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14" w:lineRule="auto"/>
        <w:rPr>
          <w:rFonts w:ascii="Arial" w:hAnsi="Arial" w:eastAsia="Arial" w:cs="Arial"/>
          <w:sz w:val="2"/>
          <w:szCs w:val="2"/>
        </w:rPr>
      </w:pPr>
    </w:p>
    <w:p>
      <w:pPr>
        <w:bidi w:val="0"/>
      </w:pPr>
    </w:p>
    <w:p>
      <w:pPr>
        <w:widowControl/>
        <w:shd w:val="clear" w:color="auto" w:fill="FFFFFF"/>
        <w:spacing w:line="240" w:lineRule="atLeast"/>
        <w:ind w:firstLine="1050" w:firstLineChars="5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不属于集货中心主要功能是（　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A.初级加工　　B.运输包装</w:t>
      </w:r>
    </w:p>
    <w:p>
      <w:pPr>
        <w:widowControl/>
        <w:shd w:val="clear" w:color="auto" w:fill="FFFFFF"/>
        <w:spacing w:line="240" w:lineRule="atLeast"/>
        <w:ind w:firstLine="1138" w:firstLineChars="542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C.分送货物　　D.货物储存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属于物流园区拓展功能的是（　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A.带动供应链　B.集约功能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C.综合运作　　D.指挥功能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下列各选项中，（　）不是物流信息的特征。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A.信息量大　　B.物流作业量大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C.动态性强　　D.来源多样化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绿色物流所持有的目标是（　）　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A.企业盈利　　B.满足顾客需求</w:t>
      </w:r>
    </w:p>
    <w:p>
      <w:pPr>
        <w:widowControl/>
        <w:shd w:val="clear" w:color="auto" w:fill="FFFFFF"/>
        <w:spacing w:line="240" w:lineRule="atLeast"/>
        <w:ind w:firstLine="1299" w:firstLineChars="619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C.保护环境　　D.扩大市场占有率</w:t>
      </w:r>
    </w:p>
    <w:p>
      <w:pPr>
        <w:widowControl/>
        <w:shd w:val="clear" w:color="auto" w:fill="FFFFFF"/>
        <w:spacing w:line="240" w:lineRule="atLeast"/>
        <w:ind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议价适用于（　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A.对供应商十分了解　B.供应商不明或分布甚广</w:t>
      </w:r>
    </w:p>
    <w:p>
      <w:pPr>
        <w:widowControl/>
        <w:shd w:val="clear" w:color="auto" w:fill="FFFFFF"/>
        <w:spacing w:line="240" w:lineRule="atLeast"/>
        <w:ind w:firstLine="1348" w:firstLineChars="642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C.长期供应商　D.个别有特定条件的供应商</w:t>
      </w:r>
    </w:p>
    <w:p>
      <w:pPr>
        <w:widowControl/>
        <w:shd w:val="clear" w:color="auto" w:fill="FFFFFF"/>
        <w:spacing w:line="240" w:lineRule="atLeast"/>
        <w:ind w:firstLine="1353" w:firstLineChars="642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>三.填空题（每空1分，共10分）</w:t>
      </w:r>
    </w:p>
    <w:p>
      <w:pPr>
        <w:bidi w:val="0"/>
        <w:ind w:firstLine="840" w:firstLineChars="4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自动化立体仓库按建筑高度的不同分为（         ）和（         ）两种</w:t>
      </w:r>
    </w:p>
    <w:p>
      <w:pPr>
        <w:bidi w:val="0"/>
      </w:pPr>
    </w:p>
    <w:p>
      <w:pPr>
        <w:widowControl/>
        <w:shd w:val="clear" w:color="auto" w:fill="FFFFFF"/>
        <w:spacing w:line="240" w:lineRule="atLeast"/>
        <w:ind w:firstLine="210" w:firstLineChars="1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eastAsia="宋体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 xml:space="preserve">与物流中心选址决策直接相关的服务指标主要有（         ）和（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 xml:space="preserve"> ）</w:t>
      </w:r>
    </w:p>
    <w:p>
      <w:pPr>
        <w:widowControl/>
        <w:shd w:val="clear" w:color="auto" w:fill="FFFFFF"/>
        <w:spacing w:line="240" w:lineRule="atLeast"/>
        <w:ind w:firstLine="840" w:firstLineChars="4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（         ）是衡量物流系统为顾客创造的时间和地点效用能力的尺度</w:t>
      </w:r>
    </w:p>
    <w:p>
      <w:pPr>
        <w:widowControl/>
        <w:shd w:val="clear" w:color="auto" w:fill="FFFFFF"/>
        <w:spacing w:line="240" w:lineRule="atLeast"/>
        <w:ind w:firstLine="840" w:firstLineChars="4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订货周期是指（         ）所跨越的时间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eastAsia="zh-CN"/>
        </w:rPr>
        <w:t>。</w:t>
      </w:r>
    </w:p>
    <w:p>
      <w:pPr>
        <w:snapToGrid w:val="0"/>
        <w:spacing w:line="440" w:lineRule="atLeast"/>
        <w:ind w:firstLine="840" w:firstLineChars="4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现代物流管理以（         ）为第一目标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eastAsia="zh-CN"/>
        </w:rPr>
        <w:t>。</w:t>
      </w:r>
    </w:p>
    <w:p>
      <w:pPr>
        <w:snapToGrid w:val="0"/>
        <w:spacing w:line="440" w:lineRule="atLeast"/>
        <w:ind w:left="840" w:leftChars="400" w:firstLine="0" w:firstLine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6.物流是根据客户的需要，将运输，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u w:val="none"/>
          <w:lang w:val="en-US" w:eastAsia="zh-CN"/>
        </w:rPr>
        <w:t>（     ） ，装卸，搬运，（     ），  流通加工，（     ），信息处理等功能有机结合起来，实现用户要求的过程。</w:t>
      </w:r>
    </w:p>
    <w:p>
      <w:pPr>
        <w:bidi w:val="0"/>
        <w:ind w:firstLine="843" w:firstLineChars="40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>四，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  <w:t>名词解释（每小题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  <w:t>分，共计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  <w:t>分）</w:t>
      </w:r>
    </w:p>
    <w:p>
      <w:pPr>
        <w:widowControl/>
        <w:shd w:val="clear" w:color="auto" w:fill="FFFFFF"/>
        <w:spacing w:line="240" w:lineRule="atLeast"/>
        <w:ind w:firstLine="1050" w:firstLineChars="5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供应链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</w:p>
    <w:p>
      <w:pPr>
        <w:numPr>
          <w:ilvl w:val="0"/>
          <w:numId w:val="3"/>
        </w:numPr>
        <w:spacing w:line="259" w:lineRule="auto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装卸搬运</w:t>
      </w: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</w:rPr>
      </w:pPr>
    </w:p>
    <w:p>
      <w:pPr>
        <w:numPr>
          <w:ilvl w:val="0"/>
          <w:numId w:val="0"/>
        </w:numPr>
        <w:spacing w:line="253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3..国际物流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4.包装功能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5.EDI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</w:rPr>
      </w:pP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</w:rPr>
      </w:pPr>
    </w:p>
    <w:p>
      <w:pPr>
        <w:pStyle w:val="2"/>
        <w:spacing w:before="269" w:line="223" w:lineRule="auto"/>
        <w:ind w:left="4"/>
        <w:rPr>
          <w:rFonts w:ascii="Times New Roman" w:hAnsi="Times New Roman" w:eastAsia="Times New Roman" w:cs="Times New Roman"/>
        </w:rPr>
      </w:pP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 xml:space="preserve">五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  <w:t>简答题（每小题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  <w:t>分，共计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</w:rPr>
        <w:t>分）</w:t>
      </w: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第三方物流的特征有哪些？</w:t>
      </w: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widowControl/>
        <w:numPr>
          <w:ilvl w:val="0"/>
          <w:numId w:val="4"/>
        </w:numPr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  <w:t>物流系统的特点有哪些？</w:t>
      </w: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Chars="0"/>
        <w:jc w:val="left"/>
        <w:rPr>
          <w:rFonts w:ascii="Times New Roman" w:hAnsi="Times New Roman" w:eastAsia="Times New Roman" w:cs="Times New Roma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</w:p>
    <w:p>
      <w:pPr>
        <w:pStyle w:val="2"/>
        <w:spacing w:before="59"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9504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  <w:sectPr>
          <w:footerReference r:id="rId6" w:type="default"/>
          <w:pgSz w:w="16839" w:h="11906"/>
          <w:pgMar w:top="1012" w:right="1264" w:bottom="1029" w:left="332" w:header="0" w:footer="815" w:gutter="0"/>
          <w:pgNumType w:fmt="decimal"/>
          <w:cols w:equalWidth="0" w:num="1">
            <w:col w:w="15242"/>
          </w:cols>
        </w:sect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Chars="0" w:firstLine="396" w:firstLineChars="2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6"/>
          <w:position w:val="-6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3.运输的五种形式？</w:t>
      </w: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 xml:space="preserve">   </w:t>
      </w:r>
    </w:p>
    <w:p>
      <w:pPr>
        <w:pStyle w:val="2"/>
        <w:rPr>
          <w:rFonts w:hint="default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Chars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leftChars="0" w:firstLine="1260" w:firstLineChars="6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4.现在物流与传统物流的区别?</w:t>
      </w: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kinsoku w:val="0"/>
        <w:autoSpaceDE w:val="0"/>
        <w:autoSpaceDN w:val="0"/>
        <w:adjustRightInd w:val="0"/>
        <w:snapToGrid w:val="0"/>
        <w:spacing w:line="240" w:lineRule="atLeast"/>
        <w:ind w:firstLine="1260" w:firstLineChars="600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  <w:t>5.生产企业物流包括哪些？</w:t>
      </w:r>
    </w:p>
    <w:p>
      <w:pPr>
        <w:spacing w:line="253" w:lineRule="auto"/>
        <w:ind w:firstLine="1260" w:firstLineChars="600"/>
        <w:rPr>
          <w:rFonts w:hint="eastAsia" w:ascii="宋体" w:hAnsi="宋体" w:eastAsia="宋体" w:cs="宋体"/>
          <w:sz w:val="21"/>
          <w:szCs w:val="21"/>
        </w:rPr>
      </w:pPr>
    </w:p>
    <w:sectPr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《</w:t>
                          </w:r>
                          <w:r>
                            <w:rPr>
                              <w:rFonts w:hint="eastAsia" w:ascii="楷体" w:hAnsi="楷体" w:eastAsia="楷体" w:cs="楷体"/>
                              <w:spacing w:val="-12"/>
                              <w:sz w:val="16"/>
                              <w:szCs w:val="16"/>
                              <w:u w:val="single" w:color="auto"/>
                              <w:lang w:val="en-US" w:eastAsia="zh-CN"/>
                            </w:rPr>
                            <w:t>现代物流管理</w:t>
                          </w: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3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pacing w:val="-3"/>
                        <w:sz w:val="18"/>
                        <w:szCs w:val="18"/>
                      </w:rPr>
                      <w:t>《</w:t>
                    </w:r>
                    <w:r>
                      <w:rPr>
                        <w:rFonts w:hint="eastAsia" w:ascii="楷体" w:hAnsi="楷体" w:eastAsia="楷体" w:cs="楷体"/>
                        <w:spacing w:val="-12"/>
                        <w:sz w:val="16"/>
                        <w:szCs w:val="16"/>
                        <w:u w:val="single" w:color="auto"/>
                        <w:lang w:val="en-US" w:eastAsia="zh-CN"/>
                      </w:rPr>
                      <w:t>现代物流管理</w:t>
                    </w:r>
                    <w:r>
                      <w:rPr>
                        <w:spacing w:val="-3"/>
                        <w:sz w:val="18"/>
                        <w:szCs w:val="18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3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>《</w:t>
    </w:r>
    <w:r>
      <w:rPr>
        <w:rFonts w:hint="eastAsia"/>
        <w:spacing w:val="-4"/>
        <w:sz w:val="18"/>
        <w:szCs w:val="18"/>
        <w:lang w:val="en-US" w:eastAsia="zh-CN"/>
      </w:rPr>
      <w:t>现代物流</w:t>
    </w:r>
    <w:r>
      <w:rPr>
        <w:spacing w:val="-4"/>
        <w:sz w:val="18"/>
        <w:szCs w:val="18"/>
      </w:rPr>
      <w:t xml:space="preserve">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A1B54D"/>
    <w:multiLevelType w:val="singleLevel"/>
    <w:tmpl w:val="B6A1B54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66" w:leftChars="0" w:firstLine="0" w:firstLineChars="0"/>
      </w:pPr>
    </w:lvl>
  </w:abstractNum>
  <w:abstractNum w:abstractNumId="1">
    <w:nsid w:val="B759149E"/>
    <w:multiLevelType w:val="singleLevel"/>
    <w:tmpl w:val="B759149E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24801F4B"/>
    <w:multiLevelType w:val="singleLevel"/>
    <w:tmpl w:val="24801F4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D241DA8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1FF1741B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A55C75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9D3261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WPS_1614647576</cp:lastModifiedBy>
  <dcterms:modified xsi:type="dcterms:W3CDTF">2023-12-11T15:47:31Z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A3909F9335D045888D56F68C39340A13_13</vt:lpwstr>
  </property>
</Properties>
</file>