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  <w:r>
        <w:pict>
          <v:shape id="_x0000_s1028" o:spid="_x0000_s1028" o:spt="202" type="#_x0000_t202" style="position:absolute;left:0pt;margin-left:6.15pt;margin-top:14.15pt;height:73.05pt;width:47.8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方云强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34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铁路运输市场营销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22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铁路运输服务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铁路运输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40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color w:val="auto"/>
          <w:sz w:val="24"/>
          <w:szCs w:val="24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1、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现代市场营销学的观点认为，市场主要是指（ 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卖方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 B. 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买方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第三方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D. 经销商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2、运输市场的特点不包括（   ）</w:t>
      </w:r>
    </w:p>
    <w:p>
      <w:pPr>
        <w:pStyle w:val="3"/>
        <w:keepNext w:val="0"/>
        <w:keepLines w:val="0"/>
        <w:pageBreakBefore w:val="0"/>
        <w:widowControl/>
        <w:tabs>
          <w:tab w:val="left" w:pos="126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/>
          <w:color w:val="auto"/>
          <w:spacing w:val="-7"/>
          <w:sz w:val="24"/>
          <w:szCs w:val="24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</w:rPr>
        <w:t>运输商品生产、消费的同步性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 B. </w:t>
      </w:r>
      <w:r>
        <w:rPr>
          <w:rFonts w:hint="eastAsia"/>
          <w:color w:val="auto"/>
          <w:spacing w:val="-7"/>
          <w:sz w:val="24"/>
          <w:szCs w:val="24"/>
        </w:rPr>
        <w:t>运输市场的非固定性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default" w:eastAsia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C. 运输需求的多样性及波动性    D. 运输市场不容易形成垄断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3、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（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）是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铁路运输企业服务的对象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A. 旅客和货主</w:t>
      </w:r>
      <w:r>
        <w:rPr>
          <w:color w:val="auto"/>
          <w:spacing w:val="-7"/>
          <w:sz w:val="24"/>
          <w:szCs w:val="24"/>
        </w:rPr>
        <w:t xml:space="preserve">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     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B. 技术职业人员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C. 铁路工作人员</w:t>
      </w:r>
      <w:r>
        <w:rPr>
          <w:color w:val="auto"/>
          <w:spacing w:val="-7"/>
          <w:sz w:val="24"/>
          <w:szCs w:val="24"/>
        </w:rPr>
        <w:t xml:space="preserve">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 </w:t>
      </w:r>
      <w:r>
        <w:rPr>
          <w:color w:val="auto"/>
          <w:spacing w:val="-7"/>
          <w:sz w:val="24"/>
          <w:szCs w:val="24"/>
        </w:rPr>
        <w:t xml:space="preserve">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    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D. 企业定向职业人员</w:t>
      </w:r>
      <w:r>
        <w:rPr>
          <w:color w:val="auto"/>
          <w:spacing w:val="-7"/>
          <w:sz w:val="24"/>
          <w:szCs w:val="24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6" w:firstLineChars="600"/>
        <w:textAlignment w:val="baseline"/>
        <w:rPr>
          <w:rFonts w:hint="eastAsia"/>
          <w:color w:val="auto"/>
          <w:spacing w:val="-7"/>
          <w:sz w:val="24"/>
          <w:szCs w:val="24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铁路运输市场的定性预测方法主要有（ 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 w:firstLine="0" w:firstLineChars="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集体意见法、单人调查研究法、头脑风暴法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 w:firstLine="0" w:firstLineChars="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集体意见法、头脑风暴法、问询法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 w:firstLine="0" w:firstLineChars="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问询法、单人调查研究法、头脑风暴法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 w:firstLine="0" w:firstLineChars="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D.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集体意见法、德尔菲法、头脑风暴法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/>
          <w:color w:val="auto"/>
          <w:sz w:val="24"/>
          <w:szCs w:val="24"/>
          <w:lang w:val="en-US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5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、以下哪种不是定量预测法的类型（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A.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简单算术平均法预测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 xml:space="preserve">B.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增长率法预测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 非线性回归预测            D. 增长率法预测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6、铁路货运产品的质量特征是（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 滞后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 w:eastAsia="宋体"/>
          <w:color w:val="auto"/>
          <w:spacing w:val="-7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B. 模糊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</w:t>
      </w:r>
      <w:r>
        <w:rPr>
          <w:rFonts w:hint="eastAsia" w:eastAsia="宋体"/>
          <w:color w:val="auto"/>
          <w:spacing w:val="-7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C. 繁琐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color w:val="auto"/>
          <w:spacing w:val="-7"/>
          <w:sz w:val="24"/>
          <w:szCs w:val="24"/>
        </w:rPr>
        <w:t xml:space="preserve">   </w:t>
      </w:r>
      <w:r>
        <w:rPr>
          <w:rFonts w:hint="eastAsia" w:eastAsia="宋体"/>
          <w:color w:val="auto"/>
          <w:spacing w:val="-7"/>
          <w:sz w:val="24"/>
          <w:szCs w:val="24"/>
          <w:lang w:val="en-US" w:eastAsia="zh-CN"/>
        </w:rPr>
        <w:t xml:space="preserve">  </w:t>
      </w:r>
      <w:r>
        <w:rPr>
          <w:color w:val="auto"/>
          <w:spacing w:val="-7"/>
          <w:sz w:val="24"/>
          <w:szCs w:val="24"/>
        </w:rPr>
        <w:t xml:space="preserve"> </w:t>
      </w:r>
      <w:r>
        <w:rPr>
          <w:rFonts w:hint="eastAsia" w:eastAsia="宋体"/>
          <w:color w:val="auto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D. 便利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7、以下关于产品的生命周期，说法错误的是（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04" w:leftChars="621" w:firstLine="54" w:firstLineChars="24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 产品生命周期又称产品寿命周期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04" w:leftChars="621" w:firstLine="54" w:firstLineChars="24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B. 它是指产品从引入市场开始,经过它的成长期、成熟期，直至衰败 ，被市场淘汰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 与该种产品在市场上的销售量和企业获得的利润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额的变化有很密切的关系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产品一经上市，其销售状况和获利能力是固定不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6" w:leftChars="0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变的，且经久不衰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8、以下哪个选项不是铁路运输定价的步骤（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A. 随意选择定价目标        B. 谨慎测定市场需求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 草率确定最终价格        D. 从不了解估算成本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9、中间商的类型不包括（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A. 海外公司采买            B. 销售代理商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 经销商                  D. 制造商代理商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10、关于铁路客运分销渠道策略，错误的是（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 客票销售网络策略首先要解决的是销售网的覆盖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面问题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客票销售方式关系到客票能否顺畅地售出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铁路客票销售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只有</w:t>
      </w: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有直销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这唯一一种销售</w:t>
      </w: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形式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58" w:firstLineChars="601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实行微机售票和微机联网售票,可提高售票的速度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1077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r>
        <w:rPr>
          <w:rFonts w:hint="eastAsia" w:eastAsia="宋体"/>
          <w:color w:val="auto"/>
          <w:lang w:val="en-US" w:eastAsia="zh-CN"/>
        </w:rPr>
        <w:t xml:space="preserve">              </w:t>
      </w: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4384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二、填空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u w:val="none"/>
          <w:lang w:val="en-US" w:eastAsia="zh-CN"/>
        </w:rPr>
        <w:t>市场的功能包括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u w:val="none"/>
          <w:lang w:val="en-US" w:eastAsia="zh-CN"/>
        </w:rPr>
        <w:t>、结合功能和竞争功能。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企业所采用的模板市场营销策略主要有三种：无差异性营销策略、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营销策略和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营销策略。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铁路运输市场细分步骤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有：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选择一种运输市场</w:t>
      </w:r>
      <w:r>
        <w:rPr>
          <w:rFonts w:hint="eastAsia" w:ascii="宋体" w:hAnsi="宋体" w:eastAsia="宋体" w:cs="宋体"/>
          <w:strike w:val="0"/>
          <w:dstrike w:val="0"/>
          <w:snapToGrid w:val="0"/>
          <w:color w:val="auto"/>
          <w:spacing w:val="-7"/>
          <w:kern w:val="0"/>
          <w:sz w:val="24"/>
          <w:szCs w:val="24"/>
          <w:u w:val="none"/>
          <w:lang w:val="en-US" w:eastAsia="zh-CN" w:bidi="ar-SA"/>
        </w:rPr>
        <w:t>范围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、列出所有旅客或货主的所有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u w:val="none"/>
          <w:lang w:val="en-US" w:eastAsia="zh-CN" w:bidi="ar-SA"/>
        </w:rPr>
        <w:t>、对运输市场进行初步细分、进行筛选、为各细分市场初步命名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运输市场营销环境调查主要包括人口环境、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、政法环境、科技环境、自然环境、竞争环境以及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环境等方面的调查。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050" w:leftChars="5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三、简答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简述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市场的分类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简述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运输市场营销环境的特点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3、简述影响铁路运价的因素。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6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Autospacing="0" w:line="420" w:lineRule="exact"/>
        <w:ind w:left="1890" w:leftChars="9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br w:type="column"/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论述题（本大题共1题，共计20分）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100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请论述影响消费者</w:t>
      </w:r>
      <w:bookmarkStart w:id="0" w:name="_GoBack"/>
      <w:bookmarkEnd w:id="0"/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购买的因素。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240" w:lineRule="auto"/>
        <w:ind w:left="0" w:leftChars="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7239" w:space="425"/>
            <w:col w:w="7239"/>
          </w:cols>
        </w:sect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tabs>
          <w:tab w:val="left" w:pos="709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978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-266700</wp:posOffset>
              </wp:positionV>
              <wp:extent cx="1828800" cy="42100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21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1pt;height:33.15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X9CnnVAAAABwEAAA8AAAAAAAAAAQAgAAAAIgAAAGRycy9kb3ducmV2Lnht&#10;bFBLAQIUABQAAAAIAIdO4kDsIasf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CE45A3"/>
    <w:multiLevelType w:val="singleLevel"/>
    <w:tmpl w:val="C8CE45A3"/>
    <w:lvl w:ilvl="0" w:tentative="0">
      <w:start w:val="4"/>
      <w:numFmt w:val="upperLetter"/>
      <w:suff w:val="space"/>
      <w:lvlText w:val="%1."/>
      <w:lvlJc w:val="left"/>
    </w:lvl>
  </w:abstractNum>
  <w:abstractNum w:abstractNumId="1">
    <w:nsid w:val="E69852DA"/>
    <w:multiLevelType w:val="singleLevel"/>
    <w:tmpl w:val="E69852DA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abstractNum w:abstractNumId="2">
    <w:nsid w:val="F8C6485E"/>
    <w:multiLevelType w:val="singleLevel"/>
    <w:tmpl w:val="F8C6485E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2D081B17"/>
    <w:multiLevelType w:val="singleLevel"/>
    <w:tmpl w:val="2D081B1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238C471"/>
    <w:multiLevelType w:val="singleLevel"/>
    <w:tmpl w:val="4238C471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7A527951"/>
    <w:multiLevelType w:val="singleLevel"/>
    <w:tmpl w:val="7A527951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4A498E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B13432"/>
    <w:rsid w:val="25CC34CF"/>
    <w:rsid w:val="25F31CBD"/>
    <w:rsid w:val="264C2709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0A17381"/>
    <w:rsid w:val="333E12BB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8A1264"/>
    <w:rsid w:val="40E9418A"/>
    <w:rsid w:val="41990C37"/>
    <w:rsid w:val="41C9600D"/>
    <w:rsid w:val="42F425C9"/>
    <w:rsid w:val="44136C9F"/>
    <w:rsid w:val="44683320"/>
    <w:rsid w:val="469620F3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608693D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655625"/>
    <w:rsid w:val="61CC6DC8"/>
    <w:rsid w:val="61F746E0"/>
    <w:rsid w:val="620D3105"/>
    <w:rsid w:val="62F365E9"/>
    <w:rsid w:val="632266D4"/>
    <w:rsid w:val="64597336"/>
    <w:rsid w:val="64EC2CA8"/>
    <w:rsid w:val="658309B5"/>
    <w:rsid w:val="658F54DE"/>
    <w:rsid w:val="66F0012F"/>
    <w:rsid w:val="684B126A"/>
    <w:rsid w:val="69E7380A"/>
    <w:rsid w:val="6BC71AEF"/>
    <w:rsid w:val="6C9618A5"/>
    <w:rsid w:val="6CFE7A78"/>
    <w:rsid w:val="6D6C2BD8"/>
    <w:rsid w:val="6E064F1B"/>
    <w:rsid w:val="6E8968AB"/>
    <w:rsid w:val="6FD81683"/>
    <w:rsid w:val="6FFB2A7F"/>
    <w:rsid w:val="71D938BA"/>
    <w:rsid w:val="728038A7"/>
    <w:rsid w:val="72C510FF"/>
    <w:rsid w:val="7300703B"/>
    <w:rsid w:val="73104006"/>
    <w:rsid w:val="74651452"/>
    <w:rsid w:val="787967BC"/>
    <w:rsid w:val="79A63158"/>
    <w:rsid w:val="7ABA3779"/>
    <w:rsid w:val="7B473C5D"/>
    <w:rsid w:val="7B884CF0"/>
    <w:rsid w:val="7B937AE9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1058</Words>
  <Characters>1111</Characters>
  <TotalTime>6</TotalTime>
  <ScaleCrop>false</ScaleCrop>
  <LinksUpToDate>false</LinksUpToDate>
  <CharactersWithSpaces>1606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2024-05-11T02:41:00Z</cp:lastPrinted>
  <dcterms:modified xsi:type="dcterms:W3CDTF">2024-05-21T08:57:49Z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7217111BC2F8407787462996F82F8D6D_13</vt:lpwstr>
  </property>
</Properties>
</file>