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1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彭思悦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>心理与精神护理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22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>老年人服务与管理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1.22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64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1"/>
        <w:tblpPr w:leftFromText="180" w:rightFromText="180" w:vertAnchor="page" w:horzAnchor="page" w:tblpX="1495" w:tblpY="2389"/>
        <w:tblOverlap w:val="never"/>
        <w:tblW w:w="56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24"/>
        <w:gridCol w:w="900"/>
        <w:gridCol w:w="876"/>
        <w:gridCol w:w="852"/>
        <w:gridCol w:w="11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2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6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85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116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80" w:type="dxa"/>
            <w:vAlign w:val="center"/>
          </w:tcPr>
          <w:p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>
      <w:pPr>
        <w:spacing w:before="134"/>
        <w:rPr>
          <w:sz w:val="18"/>
          <w:szCs w:val="18"/>
        </w:rPr>
      </w:pPr>
    </w:p>
    <w:p>
      <w:pPr>
        <w:spacing w:line="387" w:lineRule="auto"/>
        <w:rPr>
          <w:rFonts w:hint="eastAsia" w:ascii="Arial" w:eastAsia="宋体"/>
          <w:sz w:val="18"/>
          <w:szCs w:val="18"/>
          <w:lang w:val="en-US" w:eastAsia="zh-CN"/>
        </w:rPr>
      </w:pPr>
      <w:r>
        <w:rPr>
          <w:rFonts w:hint="eastAsia" w:eastAsia="宋体"/>
          <w:sz w:val="18"/>
          <w:szCs w:val="18"/>
          <w:lang w:val="en-US" w:eastAsia="zh-CN"/>
        </w:rPr>
        <w:t xml:space="preserve"> </w:t>
      </w:r>
    </w:p>
    <w:p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单项选择题</w:t>
      </w:r>
      <w:r>
        <w:rPr>
          <w:rFonts w:hint="eastAsia" w:cs="宋体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（每题1分，共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37" w:leftChars="589" w:right="57" w:rightChars="0" w:firstLine="0" w:firstLineChars="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患者在独处时，总听到耳边有人说“你快去死！”这属于哪种症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错听    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假性幻听    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命令性幻听    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评论性幻听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2.情感淡漠或情感倒错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是下列哪种精神障碍的特征性症状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）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197" w:leftChars="570"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A.器质性精神障碍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B.恶劣心境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C.精神活性药物所致精神障碍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D.精神分裂症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3.酒精戒断综合征的震颤谵妄大约在停饮多少小时后出现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A.24   B. 36   C. 48   D.72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4.下列哪种疾病不属于应激相关障碍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A.躯体形式障碍    B.创伤后应激障碍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C.适应障碍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D.急性应激障碍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5.患者听到他父亲死了的消息后，哈哈大笑，这属于哪种症状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情感淡漠   B.情感倒错   C.情感高涨    D. 情感暴发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6.下列哪项不是电痉挛治疗后的护理要点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A.清醒后马上进食     B.严防坠床摔伤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C.头偏向一侧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D.检查四肢活动情况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7.患者思维进程在无外界因素影响下突然中断,大脑一片空白，此症状称为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A.思维中断    B.思想被插入    C.思维云集    D.思维贫乏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8.常用抗抑郁药的禁忌证为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A.焦虑症      B.癫痫       C.恐惧症       D.强迫症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9.治疗恐惧症的首选方法为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A.认知疗法    B.工娱疗法   C.药物疗法   D.系统脱敏疗法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10.患者在意识清楚的情况下，思维联想过程破裂，缺乏内在意义上的连贯和应有的逻辑性，此症状称为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A.思维不连贯   B.思维散漫    C.思维破裂    D.思维中断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 思维贫乏是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A.慢性精神分裂症的常见症状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B.急性精神分裂症的常见症状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C.抑郁症的常见症状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D.焦虑症的常见症状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12.某患者说“♀”代表“圆满”，“﹟”代表“格局”，此症状称为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象征性思维    B.逻辑倒错性思维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C.语词新作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D.思维怪异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13.某患者称“脑子里有两个人不停的争吵，让他不能入睡”，此症状称为：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A.机能性幻听    B.假性幻觉    C.错听    D.幻视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14.早发现早治疗，预防复发是属于精神疾病的几级预防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  )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A.一级预防    B.病因预防    C.二级预防    D.三级预防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120" w:firstLineChars="4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-20320</wp:posOffset>
                </wp:positionV>
                <wp:extent cx="14605" cy="7094855"/>
                <wp:effectExtent l="12700" t="12700" r="23495" b="17145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05" cy="7094855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46.8pt;margin-top:-1.6pt;height:558.65pt;width:1.15pt;z-index:251664384;mso-width-relative:page;mso-height-relative:page;" filled="f" stroked="t" coordsize="21600,21600" o:gfxdata="UEsDBAoAAAAAAIdO4kAAAAAAAAAAAAAAAAAEAAAAZHJzL1BLAwQUAAAACACHTuJAVFWvmNoAAAAJ&#10;AQAADwAAAGRycy9kb3ducmV2LnhtbE2Py07DMBBF90j8gzVI7FrHbSkkxKkQAmXRDZQWxM6NhyQi&#10;Hkex08ffM6xgObpH957JVyfXiQMOofWkQU0TEEiVty3VGrZvz5M7ECEasqbzhBrOGGBVXF7kJrP+&#10;SK942MRacAmFzGhoYuwzKUPVoDNh6nskzr784Ezkc6ilHcyRy10nZ0mylM60xAuN6fGxwep7MzoN&#10;i/J8uwtDLD+e1uO6fG9fPn180Pr6SiX3ICKe4h8Mv/qsDgU77f1INohOQzpfMqlhMp+B4Dy9SUHs&#10;mVNqoUAWufz/QfEDUEsDBBQAAAAIAIdO4kBlStG+5QEAAMgDAAAOAAAAZHJzL2Uyb0RvYy54bWyt&#10;U02P2jAQvVfqf7B8LwkUtjQi7AG0vdAWabc/YHAcYtXxWB5D4N93bFi2u73soYpk+ePNmzdvJov7&#10;U2/FUQcy6Go5HpVSaKewMW5fy19PD5/mUlAE14BFp2t51iTvlx8/LAZf6Ql2aBsdBJM4qgZfyy5G&#10;XxUFqU73QCP02vFji6GHyMewL5oAA7P3tpiU5V0xYGh8QKWJ+HZ9eZRXxvAeQmxbo/Qa1aHXLl5Y&#10;g7YQuSTqjCe5zGrbVqv4s21JR2FryZXGvHIS3u/SWiwXUO0D+M6oqwR4j4Q3NfVgHCe9Ua0hgjgE&#10;8w9Vb1RAwjaOFPbFpZDsCFcxLt9489iB17kWtpr8zXT6f7Tqx3EbhGl4EqRw0HPDN8Zp8Tk5M3iq&#10;GLBy25BqUyf36DeofpNwuOrA7XVW+HT2HDZOEcWrkHQgz/y74Ts2jIFDxGzTqQ19omQDxCl343zr&#10;hj5FofhyPL0rZ1IofvlSfp3OZ7OcAarnYB8oftPYi7SppWXdmRyOG4pJDFTPkJTL4YOxNjfcOjHU&#10;cjKbljwHCniKg2tyLKE1TcKlCAr73coGcQSennmZvquEV7CUZA3UXXB0pjXGhIMq4ME1FyXWXd1J&#10;hlys3WFz3ob0nIziBmfJ12FME/T3OaNefsDl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RVr5ja&#10;AAAACQEAAA8AAAAAAAAAAQAgAAAAIgAAAGRycy9kb3ducmV2LnhtbFBLAQIUABQAAAAIAIdO4kBl&#10;StG+5QEAAMgDAAAOAAAAAAAAAAEAIAAAACk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锂盐浓度超过多少易出现中毒反应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0.4～0.8 mmol/L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B.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0.8～1.2mmol/L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1.2～1.4mmol/L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＞1.4 mmol/L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16.下列哪种情况不属于无抽搐电痉挛治疗的适应证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重度抑郁状态   B. 极度兴奋躁动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default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 紧张性木僵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脑器质性疾病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 精神分裂症首选治疗措施是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A.抗精神病药物治疗   B.无抽搐电休克治疗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C.心理治疗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D.康复治疗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default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18.下列哪项不属于进食障碍患者的护理诊断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A.营养失调   B. 思维过程紊乱  C. 自我认同紊乱 D.焦虑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default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19. 阿尔茨海默病的主要临床表现是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脑衰弱综合征 B. 失语 C. 进行性智能缺损 D. 理解力完好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7" w:leftChars="570" w:hanging="1200" w:hangingChars="5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20.患者突然扑向正在疾驰的汽车下面，表示要投胎，此症状属于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7" w:leftChars="570" w:hanging="1200" w:hangingChars="5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逻辑倒错性思维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B.诡辩症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病理性象征性思维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D.思维松弛</w:t>
      </w:r>
    </w:p>
    <w:p>
      <w:pPr>
        <w:ind w:firstLine="1205" w:firstLineChars="5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sz w:val="24"/>
          <w:szCs w:val="24"/>
        </w:rPr>
        <w:t>填空题（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共</w:t>
      </w:r>
      <w:r>
        <w:rPr>
          <w:rFonts w:hint="eastAsia" w:ascii="宋体" w:hAnsi="宋体" w:eastAsia="宋体" w:cs="宋体"/>
          <w:b/>
          <w:sz w:val="24"/>
          <w:szCs w:val="24"/>
        </w:rPr>
        <w:t>20分，每空1分）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1.谵妄时意识障碍的特点是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2.抑郁症的典型症状包括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pStyle w:val="1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jc w:val="left"/>
        <w:textAlignment w:val="baseline"/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</w:rPr>
        <w:t>3.倾听应与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相结合，做到“察言观色”。</w:t>
      </w:r>
    </w:p>
    <w:p>
      <w:pPr>
        <w:pStyle w:val="1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437" w:leftChars="570" w:hanging="240" w:hangingChars="100"/>
        <w:jc w:val="left"/>
        <w:textAlignment w:val="baseline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4.行为治疗常用的技术和方法包括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shd w:val="clear" w:color="auto" w:fill="FFFFFF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shd w:val="clear" w:color="auto" w:fill="FFFFFF"/>
        </w:rPr>
        <w:t xml:space="preserve">          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5.护理观察的方法包括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6.进食障碍一般包括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0" w:firstLineChars="500"/>
        <w:textAlignment w:val="baseline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7.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是治疗燥狂发作的首选药物。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197" w:leftChars="570" w:firstLine="0" w:firstLineChars="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8.儿童孤独症是一种广泛性发育障碍，起病于婴幼儿期，主要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表现为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不同程度的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和行为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方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式刻板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ind w:firstLine="216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cs="宋体"/>
          <w:color w:val="auto"/>
          <w:spacing w:val="-66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/>
          <w:bCs/>
          <w:color w:val="auto"/>
          <w:spacing w:val="-66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、名词解释（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分，每题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10" w:firstLineChars="100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1"/>
          <w:szCs w:val="21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精神科护理学：</w:t>
      </w: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心境障碍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240" w:firstLineChars="100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妄想：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240" w:firstLineChars="100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自知力：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创伤后应激障碍：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b w:val="0"/>
          <w:bCs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b w:val="0"/>
          <w:bCs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b w:val="0"/>
          <w:bCs/>
          <w:sz w:val="21"/>
          <w:szCs w:val="21"/>
        </w:rPr>
      </w:pPr>
    </w:p>
    <w:p>
      <w:pPr>
        <w:ind w:firstLine="241" w:firstLineChars="1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</w:rPr>
        <w:t>、简答题（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/>
          <w:sz w:val="24"/>
          <w:szCs w:val="24"/>
        </w:rPr>
        <w:t>分，每题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10" w:firstLineChars="1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/>
          <w:sz w:val="21"/>
          <w:szCs w:val="21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神经症性障碍具有哪些共同特征？</w:t>
      </w: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如何落实精神科的安全护理？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精神康复包括哪些内容？</w:t>
      </w:r>
    </w:p>
    <w:p>
      <w:pPr>
        <w:pStyle w:val="3"/>
        <w:spacing w:before="59" w:line="184" w:lineRule="auto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>
      <w:pPr>
        <w:pStyle w:val="3"/>
        <w:spacing w:before="59" w:line="184" w:lineRule="auto"/>
        <w:rPr>
          <w:rFonts w:hint="eastAsia" w:eastAsia="宋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/>
          <w:color w:val="auto"/>
          <w:lang w:val="en-US" w:eastAsia="zh-CN"/>
        </w:rPr>
        <w:t xml:space="preserve">                                                               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sz w:val="18"/>
        <w:lang w:val="en-US" w:eastAsia="zh-CN"/>
      </w:rPr>
      <w:t xml:space="preserve">                                                                                                              《心理与精神护理》</w:t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2E23F7"/>
    <w:multiLevelType w:val="singleLevel"/>
    <w:tmpl w:val="3D2E23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I2N2JkYTMwYThjZjVkZmYwZmZkZmVlMzBjOGQxMDU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6A0B80"/>
    <w:rsid w:val="0A964223"/>
    <w:rsid w:val="0E2916C5"/>
    <w:rsid w:val="0F9733D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4B176EC"/>
    <w:rsid w:val="35DC060F"/>
    <w:rsid w:val="36F54E74"/>
    <w:rsid w:val="37C46192"/>
    <w:rsid w:val="37DF230D"/>
    <w:rsid w:val="38650F93"/>
    <w:rsid w:val="39CE1DD6"/>
    <w:rsid w:val="3B3A750D"/>
    <w:rsid w:val="3C935428"/>
    <w:rsid w:val="3E1A7945"/>
    <w:rsid w:val="40E9418A"/>
    <w:rsid w:val="41990C37"/>
    <w:rsid w:val="41C9600D"/>
    <w:rsid w:val="42F425C9"/>
    <w:rsid w:val="44136C9F"/>
    <w:rsid w:val="469B499C"/>
    <w:rsid w:val="46CE305D"/>
    <w:rsid w:val="47B70069"/>
    <w:rsid w:val="47D94FFF"/>
    <w:rsid w:val="48E37E44"/>
    <w:rsid w:val="4916385B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1D627D1"/>
    <w:rsid w:val="728038A7"/>
    <w:rsid w:val="72C510FF"/>
    <w:rsid w:val="7300703B"/>
    <w:rsid w:val="73104006"/>
    <w:rsid w:val="74651452"/>
    <w:rsid w:val="787967BC"/>
    <w:rsid w:val="7ABA3779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autoRedefine/>
    <w:qFormat/>
    <w:uiPriority w:val="0"/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3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  <w:style w:type="paragraph" w:styleId="14">
    <w:name w:val="List Paragraph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40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刘凌瑶    18270904652</cp:lastModifiedBy>
  <dcterms:modified xsi:type="dcterms:W3CDTF">2024-05-16T11:03:59Z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2052-12.1.0.16729</vt:lpwstr>
  </property>
  <property fmtid="{D5CDD505-2E9C-101B-9397-08002B2CF9AE}" pid="5" name="ICV">
    <vt:lpwstr>F3AB42FC294D4713904288AD97DBD4E1_13</vt:lpwstr>
  </property>
</Properties>
</file>