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w:t>
                            </w:r>
                            <w:r>
                              <w:rPr>
                                <w:rFonts w:hint="eastAsia"/>
                                <w:spacing w:val="-11"/>
                                <w:lang w:val="en-US" w:eastAsia="zh-CN"/>
                              </w:rPr>
                              <w:t xml:space="preserve"> </w:t>
                            </w:r>
                            <w:r>
                              <w:rPr>
                                <w:spacing w:val="-11"/>
                              </w:rPr>
                              <w:t>、作弊的严重性，承担由此引起的一切后果。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w:t>
                      </w:r>
                      <w:r>
                        <w:rPr>
                          <w:rFonts w:hint="eastAsia"/>
                          <w:spacing w:val="-11"/>
                          <w:lang w:val="en-US" w:eastAsia="zh-CN"/>
                        </w:rPr>
                        <w:t xml:space="preserve"> </w:t>
                      </w:r>
                      <w:r>
                        <w:rPr>
                          <w:spacing w:val="-11"/>
                        </w:rPr>
                        <w:t>、作弊的严重性，承担由此引起的一切后果。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3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386"/>
                    <w:gridCol w:w="453"/>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34" w:hRule="atLeast"/>
                    </w:trPr>
                    <w:tc>
                      <w:tcPr>
                        <w:tcW w:w="386" w:type="dxa"/>
                        <w:tcBorders>
                          <w:right w:val="nil"/>
                        </w:tcBorders>
                        <w:textDirection w:val="btLr"/>
                        <w:vAlign w:val="top"/>
                      </w:tcPr>
                      <w:p>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彭思悦</w:t>
                        </w:r>
                      </w:p>
                    </w:tc>
                    <w:tc>
                      <w:tcPr>
                        <w:tcW w:w="453" w:type="dxa"/>
                        <w:tcBorders>
                          <w:left w:val="nil"/>
                        </w:tcBorders>
                        <w:textDirection w:val="btLr"/>
                        <w:vAlign w:val="top"/>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default" w:ascii="黑体" w:hAnsi="黑体" w:eastAsia="黑体" w:cs="黑体"/>
          <w:b/>
          <w:bCs/>
          <w:snapToGrid/>
          <w:w w:val="95"/>
          <w:kern w:val="2"/>
          <w:sz w:val="28"/>
          <w:szCs w:val="28"/>
          <w:lang w:val="en-US"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r>
        <w:rPr>
          <w:rFonts w:hint="eastAsia" w:ascii="黑体" w:hAnsi="黑体" w:eastAsia="黑体" w:cs="黑体"/>
          <w:b/>
          <w:bCs/>
          <w:snapToGrid/>
          <w:w w:val="95"/>
          <w:kern w:val="2"/>
          <w:sz w:val="24"/>
          <w:szCs w:val="24"/>
          <w:lang w:val="en-US" w:eastAsia="zh-CN"/>
        </w:rPr>
        <w:t>答案</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hint="eastAsia" w:ascii="楷体" w:hAnsi="楷体" w:eastAsia="楷体" w:cs="楷体"/>
          <w:spacing w:val="-12"/>
          <w:sz w:val="16"/>
          <w:szCs w:val="16"/>
          <w:u w:val="single" w:color="auto"/>
          <w:lang w:val="en-US" w:eastAsia="zh-CN"/>
        </w:rPr>
        <w:t>急救护理学</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22</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老年人服务与管理</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所有</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hint="eastAsia" w:ascii="Times New Roman" w:hAnsi="Times New Roman" w:eastAsia="宋体" w:cs="Times New Roman"/>
          <w:spacing w:val="-16"/>
          <w:sz w:val="16"/>
          <w:szCs w:val="16"/>
          <w:u w:val="single" w:color="auto"/>
          <w:lang w:val="en-US" w:eastAsia="zh-CN"/>
        </w:rPr>
        <w:t>64</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389"/>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984" w:type="dxa"/>
            <w:vAlign w:val="center"/>
          </w:tcPr>
          <w:p>
            <w:pPr>
              <w:jc w:val="center"/>
              <w:rPr>
                <w:rFonts w:hint="eastAsia" w:ascii="黑体" w:hAnsi="黑体" w:eastAsia="黑体" w:cs="黑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bookmarkStart w:id="0" w:name="_GoBack"/>
      <w:bookmarkEnd w:id="0"/>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numPr>
          <w:ilvl w:val="0"/>
          <w:numId w:val="0"/>
        </w:numPr>
        <w:spacing w:line="288" w:lineRule="auto"/>
        <w:ind w:leftChars="0"/>
        <w:jc w:val="both"/>
        <w:rPr>
          <w:rFonts w:hint="eastAsia" w:ascii="微软雅黑" w:hAnsi="微软雅黑" w:eastAsia="微软雅黑"/>
          <w:b/>
          <w:sz w:val="24"/>
          <w:lang w:val="en-US" w:eastAsia="zh-CN"/>
        </w:rPr>
      </w:pPr>
      <w:r>
        <w:rPr>
          <w:rFonts w:hint="eastAsia" w:ascii="微软雅黑" w:hAnsi="微软雅黑" w:eastAsia="微软雅黑"/>
          <w:b/>
          <w:sz w:val="24"/>
          <w:lang w:val="en-US" w:eastAsia="zh-CN"/>
        </w:rPr>
        <w:t xml:space="preserve">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Chars="0" w:firstLine="1205" w:firstLineChars="500"/>
        <w:jc w:val="both"/>
        <w:textAlignment w:val="baseline"/>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单选题。（每题2分，共20分）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sz w:val="24"/>
          <w:szCs w:val="24"/>
          <w:lang w:val="en-US" w:eastAsia="zh-CN"/>
        </w:rPr>
        <w:t xml:space="preserve">  </w:t>
      </w:r>
      <w:r>
        <w:rPr>
          <w:rFonts w:hint="eastAsia" w:ascii="宋体" w:hAnsi="宋体" w:eastAsia="宋体" w:cs="宋体"/>
          <w:b w:val="0"/>
          <w:bCs/>
          <w:sz w:val="24"/>
          <w:szCs w:val="24"/>
          <w:lang w:val="en-US" w:eastAsia="zh-CN"/>
        </w:rPr>
        <w:t>1~5： C  A  C  D  C</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6~10：C  B  C  C  B</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ind w:firstLine="1205" w:firstLineChars="500"/>
        <w:jc w:val="both"/>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二、名词解释（每题6分，共30分）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ind w:firstLine="1200" w:firstLineChars="500"/>
        <w:jc w:val="both"/>
        <w:textAlignment w:val="baseline"/>
        <w:rPr>
          <w:rFonts w:hint="eastAsia" w:ascii="宋体" w:hAnsi="宋体" w:eastAsia="宋体" w:cs="宋体"/>
          <w:color w:val="080F17"/>
          <w:sz w:val="24"/>
          <w:szCs w:val="24"/>
        </w:rPr>
      </w:pPr>
      <w:r>
        <w:rPr>
          <w:rFonts w:hint="eastAsia" w:ascii="宋体" w:hAnsi="宋体" w:eastAsia="宋体" w:cs="宋体"/>
          <w:color w:val="080F17"/>
          <w:sz w:val="24"/>
          <w:szCs w:val="24"/>
          <w:lang w:val="en-US" w:eastAsia="zh-CN"/>
        </w:rPr>
        <w:t>1、</w:t>
      </w:r>
      <w:r>
        <w:rPr>
          <w:rFonts w:hint="eastAsia" w:ascii="宋体" w:hAnsi="宋体" w:eastAsia="宋体" w:cs="宋体"/>
          <w:color w:val="080F17"/>
          <w:sz w:val="24"/>
          <w:szCs w:val="24"/>
        </w:rPr>
        <w:t>昏迷</w:t>
      </w:r>
      <w:r>
        <w:rPr>
          <w:rFonts w:hint="eastAsia" w:ascii="宋体" w:hAnsi="宋体" w:eastAsia="宋体" w:cs="宋体"/>
          <w:color w:val="080F17"/>
          <w:sz w:val="24"/>
          <w:szCs w:val="24"/>
          <w:lang w:eastAsia="zh-CN"/>
        </w:rPr>
        <w:t>：</w:t>
      </w:r>
      <w:r>
        <w:rPr>
          <w:rFonts w:hint="eastAsia" w:ascii="宋体" w:hAnsi="宋体" w:eastAsia="宋体" w:cs="宋体"/>
          <w:color w:val="080F17"/>
          <w:sz w:val="24"/>
          <w:szCs w:val="24"/>
        </w:rPr>
        <w:t>是大脑功能受到高度抑制的病理状态。</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ind w:left="1197" w:leftChars="570" w:firstLine="0" w:firstLineChars="0"/>
        <w:jc w:val="both"/>
        <w:textAlignment w:val="baseline"/>
        <w:rPr>
          <w:rFonts w:hint="default" w:ascii="宋体" w:hAnsi="宋体" w:eastAsia="宋体" w:cs="宋体"/>
          <w:color w:val="080F17"/>
          <w:sz w:val="24"/>
          <w:szCs w:val="24"/>
          <w:lang w:val="en-US" w:eastAsia="zh-CN"/>
        </w:rPr>
      </w:pPr>
      <w:r>
        <w:rPr>
          <w:rFonts w:hint="eastAsia" w:ascii="宋体" w:hAnsi="宋体" w:eastAsia="宋体" w:cs="宋体"/>
          <w:color w:val="080F17"/>
          <w:sz w:val="24"/>
          <w:szCs w:val="24"/>
          <w:lang w:val="en-US" w:eastAsia="zh-CN"/>
        </w:rPr>
        <w:t>2、</w:t>
      </w:r>
      <w:r>
        <w:rPr>
          <w:rFonts w:hint="eastAsia" w:ascii="宋体" w:hAnsi="宋体" w:eastAsia="宋体" w:cs="宋体"/>
          <w:color w:val="080F17"/>
          <w:sz w:val="24"/>
          <w:szCs w:val="24"/>
        </w:rPr>
        <w:t>院前救护</w:t>
      </w:r>
      <w:r>
        <w:rPr>
          <w:rFonts w:hint="eastAsia" w:ascii="宋体" w:hAnsi="宋体" w:eastAsia="宋体" w:cs="宋体"/>
          <w:color w:val="080F17"/>
          <w:sz w:val="24"/>
          <w:szCs w:val="24"/>
          <w:lang w:eastAsia="zh-CN"/>
        </w:rPr>
        <w:t>：</w:t>
      </w:r>
      <w:r>
        <w:rPr>
          <w:rFonts w:hint="eastAsia" w:ascii="宋体" w:hAnsi="宋体" w:eastAsia="宋体" w:cs="宋体"/>
          <w:color w:val="080F17"/>
          <w:sz w:val="24"/>
          <w:szCs w:val="24"/>
        </w:rPr>
        <w:t>是指急危重症病人进人医院前的急救护理。研究范围包括院前救护理论与技术的研究。</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1289" w:leftChars="614" w:right="0" w:firstLine="0" w:firstLineChars="0"/>
        <w:textAlignment w:val="baseline"/>
        <w:rPr>
          <w:rFonts w:hint="eastAsia" w:ascii="宋体" w:hAnsi="宋体" w:eastAsia="宋体" w:cs="宋体"/>
          <w:sz w:val="24"/>
          <w:szCs w:val="24"/>
        </w:rPr>
      </w:pPr>
      <w:r>
        <w:rPr>
          <w:rFonts w:hint="eastAsia" w:eastAsia="宋体" w:cs="宋体"/>
          <w:color w:val="080F17"/>
          <w:sz w:val="24"/>
          <w:szCs w:val="24"/>
          <w:lang w:val="en-US" w:eastAsia="zh-CN"/>
        </w:rPr>
        <w:t>3、</w:t>
      </w:r>
      <w:r>
        <w:rPr>
          <w:rFonts w:hint="eastAsia" w:ascii="宋体" w:hAnsi="宋体" w:eastAsia="宋体" w:cs="宋体"/>
          <w:color w:val="080F17"/>
          <w:sz w:val="24"/>
          <w:szCs w:val="24"/>
        </w:rPr>
        <w:t>晕厥</w:t>
      </w:r>
      <w:r>
        <w:rPr>
          <w:rFonts w:hint="eastAsia" w:eastAsia="宋体" w:cs="宋体"/>
          <w:color w:val="080F17"/>
          <w:sz w:val="24"/>
          <w:szCs w:val="24"/>
          <w:lang w:eastAsia="zh-CN"/>
        </w:rPr>
        <w:t>：</w:t>
      </w:r>
      <w:r>
        <w:rPr>
          <w:rFonts w:hint="eastAsia" w:ascii="宋体" w:hAnsi="宋体" w:eastAsia="宋体" w:cs="宋体"/>
          <w:color w:val="080F17"/>
          <w:sz w:val="24"/>
          <w:szCs w:val="24"/>
        </w:rPr>
        <w:t>是由于大脑一时性、广泛性供血不足，引起大脑皮质高度抑制而突然出现的短暂性意识丧失。</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1289" w:leftChars="614" w:right="0" w:firstLine="0" w:firstLineChars="0"/>
        <w:textAlignment w:val="baseline"/>
        <w:rPr>
          <w:rFonts w:hint="default" w:ascii="宋体" w:hAnsi="宋体" w:eastAsia="宋体" w:cs="宋体"/>
          <w:color w:val="080F17"/>
          <w:sz w:val="24"/>
          <w:szCs w:val="24"/>
          <w:lang w:val="en-US" w:eastAsia="zh-CN"/>
        </w:rPr>
      </w:pPr>
      <w:r>
        <w:rPr>
          <w:rFonts w:hint="eastAsia" w:eastAsia="宋体" w:cs="宋体"/>
          <w:color w:val="080F17"/>
          <w:sz w:val="24"/>
          <w:szCs w:val="24"/>
          <w:lang w:val="en-US" w:eastAsia="zh-CN"/>
        </w:rPr>
        <w:t>4、</w:t>
      </w:r>
      <w:r>
        <w:rPr>
          <w:rFonts w:hint="eastAsia" w:ascii="宋体" w:hAnsi="宋体" w:eastAsia="宋体" w:cs="宋体"/>
          <w:color w:val="080F17"/>
          <w:sz w:val="24"/>
          <w:szCs w:val="24"/>
        </w:rPr>
        <w:t>颅内压</w:t>
      </w:r>
      <w:r>
        <w:rPr>
          <w:rFonts w:hint="eastAsia" w:eastAsia="宋体" w:cs="宋体"/>
          <w:color w:val="080F17"/>
          <w:sz w:val="24"/>
          <w:szCs w:val="24"/>
          <w:lang w:eastAsia="zh-CN"/>
        </w:rPr>
        <w:t>：</w:t>
      </w:r>
      <w:r>
        <w:rPr>
          <w:rFonts w:hint="eastAsia" w:ascii="宋体" w:hAnsi="宋体" w:eastAsia="宋体" w:cs="宋体"/>
          <w:color w:val="080F17"/>
          <w:sz w:val="24"/>
          <w:szCs w:val="24"/>
        </w:rPr>
        <w:t>是颅内容物（脑组织、血液和脑脊液）对颅腔产生的压力。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ind w:left="1289" w:leftChars="614" w:firstLine="0" w:firstLineChars="0"/>
        <w:jc w:val="both"/>
        <w:textAlignment w:val="baseline"/>
        <w:rPr>
          <w:rFonts w:hint="eastAsia" w:ascii="宋体" w:hAnsi="宋体" w:eastAsia="宋体" w:cs="宋体"/>
          <w:color w:val="080F17"/>
          <w:sz w:val="24"/>
          <w:szCs w:val="24"/>
        </w:rPr>
      </w:pPr>
      <w:r>
        <w:rPr>
          <w:rFonts w:hint="eastAsia" w:ascii="宋体" w:hAnsi="宋体" w:eastAsia="宋体" w:cs="宋体"/>
          <w:color w:val="080F17"/>
          <w:sz w:val="24"/>
          <w:szCs w:val="24"/>
          <w:lang w:val="en-US" w:eastAsia="zh-CN"/>
        </w:rPr>
        <w:t>5、</w:t>
      </w:r>
      <w:r>
        <w:rPr>
          <w:rFonts w:hint="eastAsia" w:ascii="宋体" w:hAnsi="宋体" w:eastAsia="宋体" w:cs="宋体"/>
          <w:color w:val="080F17"/>
          <w:sz w:val="24"/>
          <w:szCs w:val="24"/>
        </w:rPr>
        <w:t>惊厥</w:t>
      </w:r>
      <w:r>
        <w:rPr>
          <w:rFonts w:hint="eastAsia" w:ascii="宋体" w:hAnsi="宋体" w:eastAsia="宋体" w:cs="宋体"/>
          <w:color w:val="080F17"/>
          <w:sz w:val="24"/>
          <w:szCs w:val="24"/>
          <w:lang w:eastAsia="zh-CN"/>
        </w:rPr>
        <w:t>：</w:t>
      </w:r>
      <w:r>
        <w:rPr>
          <w:rFonts w:hint="eastAsia" w:ascii="宋体" w:hAnsi="宋体" w:eastAsia="宋体" w:cs="宋体"/>
          <w:color w:val="080F17"/>
          <w:sz w:val="24"/>
          <w:szCs w:val="24"/>
        </w:rPr>
        <w:t>是全身或局部肌肉突然出现强直性或阵发性疼挛、并伴有意识障碍。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jc w:val="both"/>
        <w:textAlignment w:val="baseline"/>
        <w:rPr>
          <w:rFonts w:hint="default" w:ascii="宋体" w:hAnsi="宋体" w:eastAsia="宋体" w:cs="宋体"/>
          <w:color w:val="080F17"/>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5" w:firstLineChars="500"/>
        <w:jc w:val="both"/>
        <w:textAlignment w:val="baseline"/>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、简答题（每题</w:t>
      </w:r>
      <w:r>
        <w:rPr>
          <w:rFonts w:hint="eastAsia" w:ascii="宋体" w:hAnsi="宋体" w:eastAsia="宋体" w:cs="宋体"/>
          <w:b/>
          <w:sz w:val="24"/>
          <w:szCs w:val="24"/>
          <w:lang w:val="en-US" w:eastAsia="zh-CN"/>
        </w:rPr>
        <w:t>10</w:t>
      </w:r>
      <w:r>
        <w:rPr>
          <w:rFonts w:hint="eastAsia" w:ascii="宋体" w:hAnsi="宋体" w:eastAsia="宋体" w:cs="宋体"/>
          <w:b/>
          <w:sz w:val="24"/>
          <w:szCs w:val="24"/>
        </w:rPr>
        <w:t>分，共</w:t>
      </w:r>
      <w:r>
        <w:rPr>
          <w:rFonts w:hint="eastAsia" w:ascii="宋体" w:hAnsi="宋体" w:eastAsia="宋体" w:cs="宋体"/>
          <w:b/>
          <w:sz w:val="24"/>
          <w:szCs w:val="24"/>
          <w:lang w:val="en-US" w:eastAsia="zh-CN"/>
        </w:rPr>
        <w:t>40</w:t>
      </w:r>
      <w:r>
        <w:rPr>
          <w:rFonts w:hint="eastAsia" w:ascii="宋体" w:hAnsi="宋体" w:eastAsia="宋体" w:cs="宋体"/>
          <w:b/>
          <w:sz w:val="24"/>
          <w:szCs w:val="24"/>
        </w:rPr>
        <w:t>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0" w:firstLine="1200" w:firstLineChars="500"/>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b/>
          <w:sz w:val="24"/>
          <w:szCs w:val="24"/>
        </w:rPr>
        <w:t>答案：</w:t>
      </w:r>
      <w:r>
        <w:rPr>
          <w:rFonts w:hint="eastAsia" w:ascii="宋体" w:hAnsi="宋体" w:eastAsia="宋体" w:cs="宋体"/>
          <w:sz w:val="24"/>
          <w:szCs w:val="24"/>
        </w:rPr>
        <w:t>心肺复苏术的基本步骤包括：</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both"/>
        <w:textAlignment w:val="baseline"/>
        <w:rPr>
          <w:rFonts w:hint="eastAsia" w:ascii="宋体" w:hAnsi="宋体" w:eastAsia="宋体" w:cs="宋体"/>
          <w:sz w:val="24"/>
          <w:szCs w:val="24"/>
        </w:rPr>
      </w:pPr>
      <w:r>
        <w:rPr>
          <w:rFonts w:hint="eastAsia" w:ascii="宋体" w:hAnsi="宋体" w:eastAsia="宋体" w:cs="宋体"/>
          <w:sz w:val="24"/>
          <w:szCs w:val="24"/>
        </w:rPr>
        <w:t>(1) 评估现场安全并快速接近患者；</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both"/>
        <w:textAlignment w:val="baseline"/>
        <w:rPr>
          <w:rFonts w:hint="eastAsia" w:ascii="宋体" w:hAnsi="宋体" w:eastAsia="宋体" w:cs="宋体"/>
          <w:sz w:val="24"/>
          <w:szCs w:val="24"/>
        </w:rPr>
      </w:pPr>
      <w:r>
        <w:rPr>
          <w:rFonts w:hint="eastAsia" w:ascii="宋体" w:hAnsi="宋体" w:eastAsia="宋体" w:cs="宋体"/>
          <w:sz w:val="24"/>
          <w:szCs w:val="24"/>
        </w:rPr>
        <w:t>(2) 检查患者意识、呼吸和脉搏；</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both"/>
        <w:textAlignment w:val="baseline"/>
        <w:rPr>
          <w:rFonts w:hint="eastAsia" w:ascii="宋体" w:hAnsi="宋体" w:eastAsia="宋体" w:cs="宋体"/>
          <w:sz w:val="24"/>
          <w:szCs w:val="24"/>
        </w:rPr>
      </w:pPr>
      <w:r>
        <w:rPr>
          <w:rFonts w:hint="eastAsia" w:ascii="宋体" w:hAnsi="宋体" w:eastAsia="宋体" w:cs="宋体"/>
          <w:sz w:val="24"/>
          <w:szCs w:val="24"/>
        </w:rPr>
        <w:t>(3) 若无反应且无呼吸或脉搏，立即开始胸外按压；</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(4) 按压位置在胸骨下1/3处，深度5-6cm，频率100-120次/分钟；</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(5) 每进行30次按压后，给予2次人工呼吸；</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(6) 持续进行心肺复苏直到专业救援人员到达或患者恢复自主呼吸和循环。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b/>
          <w:sz w:val="24"/>
          <w:szCs w:val="24"/>
        </w:rPr>
        <w:t>答案：</w:t>
      </w:r>
      <w:r>
        <w:rPr>
          <w:rFonts w:hint="eastAsia" w:ascii="宋体" w:hAnsi="宋体" w:eastAsia="宋体" w:cs="宋体"/>
          <w:sz w:val="24"/>
          <w:szCs w:val="24"/>
        </w:rPr>
        <w:t>处理创伤性出血的基本原则包括：</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(1) 快速评估现场环境，确保施救者和患者安全；</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(2) 有效控制出血，采取直接压迫、止血带等止血方法；</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(3) 抬高受伤部位，减少出血；</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(4) 清洁伤口，减少感染风险；</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(5) 及时转运患者至医疗机构进行进一步处理。</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简述先兆中暑与轻症中暑的急救与护理</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b/>
          <w:sz w:val="24"/>
          <w:szCs w:val="24"/>
        </w:rPr>
        <w:t>答案：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立即将病人转移至阴凉、通风处；</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解开衣服，安静休息；</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0" w:leftChars="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观察体温、脉搏、呼吸、血压变化；</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0" w:leftChars="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服用防暑降温剂，如仁丹、十滴水等，并补充含盐清凉饮料。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4、简述溺水的现场急救有哪些？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color w:val="000000"/>
          <w:sz w:val="24"/>
          <w:szCs w:val="24"/>
        </w:rPr>
      </w:pPr>
      <w:r>
        <w:rPr>
          <w:rFonts w:hint="eastAsia" w:ascii="宋体" w:hAnsi="宋体" w:eastAsia="宋体" w:cs="宋体"/>
          <w:b/>
          <w:bCs/>
          <w:sz w:val="24"/>
          <w:szCs w:val="24"/>
          <w:lang w:val="en-US" w:eastAsia="zh-CN"/>
        </w:rPr>
        <w:t>答案：1、</w:t>
      </w:r>
      <w:r>
        <w:rPr>
          <w:rFonts w:hint="eastAsia" w:ascii="宋体" w:hAnsi="宋体" w:eastAsia="宋体" w:cs="宋体"/>
          <w:color w:val="000000"/>
          <w:sz w:val="24"/>
          <w:szCs w:val="24"/>
        </w:rPr>
        <w:t>保持呼吸道通畅</w:t>
      </w:r>
      <w:r>
        <w:rPr>
          <w:rFonts w:hint="eastAsia" w:eastAsia="宋体" w:cs="宋体"/>
          <w:color w:val="000000"/>
          <w:sz w:val="24"/>
          <w:szCs w:val="24"/>
          <w:lang w:eastAsia="zh-CN"/>
        </w:rPr>
        <w:t>，</w:t>
      </w:r>
      <w:r>
        <w:rPr>
          <w:rFonts w:hint="eastAsia" w:ascii="宋体" w:hAnsi="宋体" w:eastAsia="宋体" w:cs="宋体"/>
          <w:color w:val="000000"/>
          <w:sz w:val="24"/>
          <w:szCs w:val="24"/>
        </w:rPr>
        <w:t>立即清除口、鼻中的污泥、杂草,有义齿者取出义齿,并将舌拉出,对牙关紧闭者,可先捏住两侧颊肌,然后再将口开启,必要时用开口器,及时吸痰,清除口腔分泌物,松解衣领和紧裹的内衣、胸罩和腰带,保持呼吸道通畅。</w:t>
      </w:r>
    </w:p>
    <w:p>
      <w:pPr>
        <w:bidi w:val="0"/>
        <w:rPr>
          <w:rFonts w:hint="eastAsia"/>
          <w:sz w:val="24"/>
          <w:szCs w:val="24"/>
        </w:rPr>
      </w:pPr>
      <w:r>
        <w:rPr>
          <w:rFonts w:hint="eastAsia" w:ascii="宋体" w:hAnsi="宋体" w:eastAsia="宋体" w:cs="宋体"/>
          <w:color w:val="000000"/>
          <w:sz w:val="24"/>
          <w:szCs w:val="32"/>
          <w:lang w:val="en-US" w:eastAsia="zh-CN"/>
        </w:rPr>
        <w:t>2、</w:t>
      </w:r>
      <w:r>
        <w:rPr>
          <w:rFonts w:hint="eastAsia" w:ascii="宋体" w:hAnsi="宋体" w:eastAsia="宋体" w:cs="宋体"/>
          <w:color w:val="000000"/>
          <w:sz w:val="24"/>
          <w:szCs w:val="32"/>
        </w:rPr>
        <w:t>控水处理</w:t>
      </w:r>
      <w:r>
        <w:rPr>
          <w:rFonts w:hint="eastAsia" w:ascii="宋体" w:hAnsi="宋体" w:eastAsia="宋体" w:cs="宋体"/>
          <w:color w:val="000000"/>
          <w:sz w:val="24"/>
          <w:szCs w:val="32"/>
          <w:lang w:eastAsia="zh-CN"/>
        </w:rPr>
        <w:t>。</w:t>
      </w:r>
      <w:r>
        <w:rPr>
          <w:rFonts w:hint="eastAsia" w:ascii="宋体" w:hAnsi="宋体" w:eastAsia="宋体" w:cs="宋体"/>
          <w:color w:val="000000"/>
          <w:sz w:val="24"/>
          <w:szCs w:val="32"/>
        </w:rPr>
        <w:t>可用下列方法迅速倒出淹溺者呼吸道和胃内积水。①膝顶法:急救者取半蹲位,一腿跪地另一腿屈膝,将淹溺者腹部横于救护者屈膝的大腿上,使头部下垂,并用手按压其背部,使</w:t>
      </w:r>
      <w:r>
        <w:rPr>
          <w:rFonts w:hint="eastAsia" w:ascii="宋体" w:hAnsi="宋体" w:eastAsia="宋体" w:cs="宋体"/>
          <w:color w:val="000000"/>
          <w:sz w:val="24"/>
          <w:szCs w:val="32"/>
          <w:lang w:val="en-US" w:eastAsia="zh-CN"/>
        </w:rPr>
        <w:t xml:space="preserve"> </w:t>
      </w:r>
      <w:r>
        <w:rPr>
          <w:rFonts w:hint="eastAsia" w:ascii="宋体" w:hAnsi="宋体" w:eastAsia="宋体" w:cs="宋体"/>
          <w:color w:val="000000"/>
          <w:szCs w:val="24"/>
          <w:lang w:val="en-US" w:eastAsia="zh-CN"/>
        </w:rPr>
        <w:t xml:space="preserve">                  </w:t>
      </w:r>
      <w:r>
        <w:rPr>
          <w:rFonts w:hint="eastAsia"/>
          <w:sz w:val="24"/>
          <w:szCs w:val="24"/>
        </w:rPr>
        <w:t>呼吸道及消化道内的水倒出。②顶肩法:急救者抱住淹溺者的双</w:t>
      </w:r>
      <w:r>
        <w:rPr>
          <w:rFonts w:hint="eastAsia" w:eastAsia="宋体"/>
          <w:sz w:val="24"/>
          <w:szCs w:val="24"/>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0" w:leftChars="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0" w:leftChars="0"/>
        <w:jc w:val="both"/>
        <w:textAlignment w:val="baseline"/>
        <w:rPr>
          <w:rFonts w:hint="eastAsia" w:ascii="宋体" w:hAnsi="宋体" w:eastAsia="宋体" w:cs="宋体"/>
          <w:sz w:val="24"/>
          <w:szCs w:val="24"/>
          <w:lang w:val="en-US" w:eastAsia="zh-CN"/>
        </w:rPr>
      </w:pPr>
    </w:p>
    <w:p>
      <w:pPr>
        <w:bidi w:val="0"/>
        <w:ind w:left="958" w:leftChars="456" w:firstLine="0" w:firstLineChars="0"/>
        <w:rPr>
          <w:rFonts w:hint="eastAsia"/>
          <w:sz w:val="24"/>
          <w:szCs w:val="24"/>
        </w:rPr>
      </w:pPr>
    </w:p>
    <w:p>
      <w:pPr>
        <w:bidi w:val="0"/>
        <w:ind w:left="958" w:leftChars="456" w:firstLine="0" w:firstLineChars="0"/>
        <w:rPr>
          <w:rFonts w:hint="eastAsia"/>
          <w:sz w:val="24"/>
          <w:szCs w:val="24"/>
        </w:rPr>
      </w:pPr>
      <w:r>
        <w:rPr>
          <w:rFonts w:hint="eastAsia"/>
          <w:sz w:val="24"/>
          <w:szCs w:val="24"/>
        </w:rPr>
        <w:t>腿,将其腹部放在急救者的肩部,使淹溺者头胸下垂,急救者快步奔跑使积水倒出。③抱腹法:急救者从溺水者背后双手抱住腰腹部,使其背部在上,头胸部下垂,摇晃淹溺者以利倒水。注意:倒水时间不要过长,以免影响心肺复苏。</w:t>
      </w:r>
    </w:p>
    <w:p>
      <w:pPr>
        <w:bidi w:val="0"/>
        <w:ind w:left="958" w:leftChars="456" w:firstLine="0" w:firstLineChars="0"/>
        <w:rPr>
          <w:rFonts w:hint="eastAsia"/>
          <w:sz w:val="24"/>
          <w:szCs w:val="24"/>
        </w:rPr>
      </w:pPr>
      <w:r>
        <w:rPr>
          <w:rFonts w:hint="eastAsia"/>
          <w:sz w:val="24"/>
          <w:szCs w:val="24"/>
          <w:lang w:val="en-US" w:eastAsia="zh-CN"/>
        </w:rPr>
        <w:t>3、</w:t>
      </w:r>
      <w:r>
        <w:rPr>
          <w:rFonts w:hint="eastAsia"/>
          <w:sz w:val="24"/>
          <w:szCs w:val="24"/>
        </w:rPr>
        <w:t>心肺复苏</w:t>
      </w:r>
      <w:r>
        <w:rPr>
          <w:rFonts w:hint="eastAsia"/>
          <w:sz w:val="24"/>
          <w:szCs w:val="24"/>
          <w:lang w:eastAsia="zh-CN"/>
        </w:rPr>
        <w:t>。</w:t>
      </w:r>
      <w:r>
        <w:rPr>
          <w:rFonts w:hint="eastAsia"/>
          <w:sz w:val="24"/>
          <w:szCs w:val="24"/>
        </w:rPr>
        <w:t>溺水后应尽早开始基础生命支持,恢复有效呼吸循环是成功复苏、降低病死率和严重的神经系统后遗症最有效的方法。</w:t>
      </w:r>
    </w:p>
    <w:p>
      <w:pPr>
        <w:bidi w:val="0"/>
        <w:ind w:left="958" w:leftChars="456" w:firstLine="0" w:firstLineChars="0"/>
        <w:rPr>
          <w:rFonts w:hint="eastAsia"/>
          <w:sz w:val="24"/>
          <w:szCs w:val="24"/>
        </w:rPr>
      </w:pPr>
      <w:r>
        <w:rPr>
          <w:rFonts w:hint="eastAsia"/>
          <w:sz w:val="24"/>
          <w:szCs w:val="24"/>
          <w:lang w:val="en-US" w:eastAsia="zh-CN"/>
        </w:rPr>
        <w:t>4、</w:t>
      </w:r>
      <w:r>
        <w:rPr>
          <w:rFonts w:hint="eastAsia"/>
          <w:sz w:val="24"/>
          <w:szCs w:val="24"/>
        </w:rPr>
        <w:t>吸氧</w:t>
      </w:r>
      <w:r>
        <w:rPr>
          <w:rFonts w:hint="eastAsia"/>
          <w:sz w:val="24"/>
          <w:szCs w:val="24"/>
          <w:lang w:eastAsia="zh-CN"/>
        </w:rPr>
        <w:t>。</w:t>
      </w:r>
      <w:r>
        <w:rPr>
          <w:rFonts w:hint="eastAsia"/>
          <w:sz w:val="24"/>
          <w:szCs w:val="24"/>
        </w:rPr>
        <w:t>心肺复苏有效者,给予高流量高浓度吸氧,迅速转送医院,途中不中断救护并保暖,同时通知医院做好救护溺水患者的准备。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0" w:leftChars="0"/>
        <w:jc w:val="both"/>
        <w:textAlignment w:val="baseline"/>
        <w:rPr>
          <w:rFonts w:hint="default" w:ascii="宋体" w:hAnsi="宋体" w:eastAsia="宋体" w:cs="宋体"/>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四、</w:t>
      </w:r>
      <w:r>
        <w:rPr>
          <w:rFonts w:hint="eastAsia" w:ascii="宋体" w:hAnsi="宋体" w:eastAsia="宋体" w:cs="宋体"/>
          <w:b/>
          <w:sz w:val="24"/>
          <w:szCs w:val="24"/>
        </w:rPr>
        <w:t>案例分析题（每题10分，共</w:t>
      </w:r>
      <w:r>
        <w:rPr>
          <w:rFonts w:hint="eastAsia" w:ascii="宋体" w:hAnsi="宋体" w:eastAsia="宋体" w:cs="宋体"/>
          <w:b/>
          <w:sz w:val="24"/>
          <w:szCs w:val="24"/>
          <w:lang w:val="en-US" w:eastAsia="zh-CN"/>
        </w:rPr>
        <w:t>10</w:t>
      </w:r>
      <w:r>
        <w:rPr>
          <w:rFonts w:hint="eastAsia" w:ascii="宋体" w:hAnsi="宋体" w:eastAsia="宋体" w:cs="宋体"/>
          <w:b/>
          <w:sz w:val="24"/>
          <w:szCs w:val="24"/>
        </w:rPr>
        <w:t>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sz w:val="24"/>
          <w:szCs w:val="24"/>
        </w:rPr>
      </w:pPr>
      <w:r>
        <w:rPr>
          <w:rFonts w:hint="eastAsia" w:ascii="宋体" w:hAnsi="宋体" w:eastAsia="宋体" w:cs="宋体"/>
          <w:sz w:val="24"/>
          <w:szCs w:val="24"/>
        </w:rPr>
        <w:t>案例</w:t>
      </w:r>
      <w:r>
        <w:rPr>
          <w:rFonts w:hint="eastAsia" w:ascii="宋体" w:hAnsi="宋体" w:eastAsia="宋体" w:cs="宋体"/>
          <w:sz w:val="24"/>
          <w:szCs w:val="24"/>
          <w:lang w:val="en-US" w:eastAsia="zh-CN"/>
        </w:rPr>
        <w:t>一</w:t>
      </w:r>
      <w:r>
        <w:rPr>
          <w:rFonts w:hint="eastAsia" w:ascii="宋体" w:hAnsi="宋体" w:eastAsia="宋体" w:cs="宋体"/>
          <w:sz w:val="24"/>
          <w:szCs w:val="24"/>
        </w:rPr>
        <w:t>：患者张先生，55岁，突然在家中昏倒，无意识、无呼吸、无脉搏。请描述您应如何为张先生进行急救处理。</w:t>
      </w:r>
    </w:p>
    <w:p>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eastAsia="宋体"/>
          <w:color w:val="auto"/>
          <w:lang w:val="en-US" w:eastAsia="zh-CN"/>
        </w:rPr>
      </w:pPr>
      <w:r>
        <w:rPr>
          <w:rFonts w:hint="eastAsia" w:ascii="宋体" w:hAnsi="宋体" w:eastAsia="宋体" w:cs="宋体"/>
          <w:b/>
          <w:sz w:val="24"/>
          <w:szCs w:val="24"/>
        </w:rPr>
        <w:t>答案：</w:t>
      </w:r>
      <w:r>
        <w:rPr>
          <w:rFonts w:hint="eastAsia" w:ascii="宋体" w:hAnsi="宋体" w:eastAsia="宋体" w:cs="宋体"/>
          <w:sz w:val="24"/>
          <w:szCs w:val="24"/>
        </w:rPr>
        <w:t>作为急救人员，对于张先生的情况，我应首先评估现场环境，确保安全后迅速接近患者。然后检查张先生的意识、呼吸和脉搏，确认其是否处于心脏骤停状态。若确认心脏骤停，应立即开始心肺复按照胸外按压与人工呼吸的比例（30:2）进行复苏操作。同时，呼叫救援并准备除颤器。在复苏过程中，持续评估张先生的意识和生命体征，直至专业救援人员到达或张先生恢复自主循环。</w:t>
      </w: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70C3C"/>
    <w:multiLevelType w:val="singleLevel"/>
    <w:tmpl w:val="A6870C3C"/>
    <w:lvl w:ilvl="0" w:tentative="0">
      <w:start w:val="2"/>
      <w:numFmt w:val="decimal"/>
      <w:suff w:val="space"/>
      <w:lvlText w:val="(%1)"/>
      <w:lvlJc w:val="left"/>
    </w:lvl>
  </w:abstractNum>
  <w:abstractNum w:abstractNumId="1">
    <w:nsid w:val="76E35C60"/>
    <w:multiLevelType w:val="singleLevel"/>
    <w:tmpl w:val="76E35C6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2EBA669F"/>
    <w:rsid w:val="30A1102E"/>
    <w:rsid w:val="33196863"/>
    <w:rsid w:val="34B176EC"/>
    <w:rsid w:val="35DC060F"/>
    <w:rsid w:val="36F54E74"/>
    <w:rsid w:val="37C46192"/>
    <w:rsid w:val="37DF230D"/>
    <w:rsid w:val="38650F93"/>
    <w:rsid w:val="39CE1DD6"/>
    <w:rsid w:val="3B3A750D"/>
    <w:rsid w:val="3C935428"/>
    <w:rsid w:val="3E1A7945"/>
    <w:rsid w:val="40E9418A"/>
    <w:rsid w:val="41990C37"/>
    <w:rsid w:val="41C9600D"/>
    <w:rsid w:val="42F425C9"/>
    <w:rsid w:val="44136C9F"/>
    <w:rsid w:val="45A738CF"/>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A680FB3"/>
    <w:rsid w:val="6BC71AEF"/>
    <w:rsid w:val="6C9618A5"/>
    <w:rsid w:val="6CFE7A78"/>
    <w:rsid w:val="6D6C2BD8"/>
    <w:rsid w:val="6E8968AB"/>
    <w:rsid w:val="6FD81683"/>
    <w:rsid w:val="6FFB2A7F"/>
    <w:rsid w:val="728038A7"/>
    <w:rsid w:val="72C510FF"/>
    <w:rsid w:val="7300703B"/>
    <w:rsid w:val="73104006"/>
    <w:rsid w:val="74651452"/>
    <w:rsid w:val="750C1020"/>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TotalTime>2</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2024-05-12T05:18:58Z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10EC30BBEF564C1BBF912F382EE54E8A_13</vt:lpwstr>
  </property>
</Properties>
</file>