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黄晨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outlineLvl w:val="0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铁路客运组织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23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高铁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pacing w:val="0"/>
          <w:sz w:val="16"/>
          <w:szCs w:val="16"/>
          <w:u w:val="single" w:color="auto"/>
          <w:lang w:val="en-US" w:eastAsia="zh-CN"/>
        </w:rPr>
        <w:t xml:space="preserve">23高铁班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38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9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一、填空题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（本大题共10小题，每小题2分，共20分）</w:t>
      </w:r>
    </w:p>
    <w:p>
      <w:pPr>
        <w:widowControl/>
        <w:numPr>
          <w:ilvl w:val="0"/>
          <w:numId w:val="0"/>
        </w:numPr>
        <w:spacing w:line="360" w:lineRule="auto"/>
        <w:ind w:left="1130" w:hanging="1130" w:hangingChars="5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color w:val="auto"/>
          <w:spacing w:val="-7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旅客基本票价构成的三要素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、票价里程区段、递远递减率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具备以后，即可计算旅客基本票价。</w:t>
      </w:r>
    </w:p>
    <w:p>
      <w:pPr>
        <w:widowControl/>
        <w:spacing w:line="360" w:lineRule="auto"/>
        <w:ind w:firstLine="1200" w:firstLineChars="5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2、旅客客票票价包括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保险费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两个部分。</w:t>
      </w:r>
    </w:p>
    <w:p>
      <w:pPr>
        <w:widowControl/>
        <w:spacing w:line="360" w:lineRule="auto"/>
        <w:ind w:firstLine="1200" w:firstLineChars="5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3、车票按乘车情况可分为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通票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两类。</w:t>
      </w:r>
    </w:p>
    <w:p>
      <w:pPr>
        <w:widowControl/>
        <w:spacing w:line="360" w:lineRule="auto"/>
        <w:ind w:left="1197" w:leftChars="570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4、计算运价所应用的里程，称为运价里程，运价里程分为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客运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运价里程和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运价里程。</w:t>
      </w:r>
    </w:p>
    <w:p>
      <w:pPr>
        <w:numPr>
          <w:ilvl w:val="0"/>
          <w:numId w:val="0"/>
        </w:numPr>
        <w:spacing w:line="360" w:lineRule="auto"/>
        <w:ind w:left="1197" w:leftChars="57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旅客站台按站台与线路钢轨顶面的高差值，可分为三种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高站台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一般站台、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三种。</w:t>
      </w:r>
    </w:p>
    <w:p>
      <w:pPr>
        <w:numPr>
          <w:ilvl w:val="0"/>
          <w:numId w:val="0"/>
        </w:numPr>
        <w:spacing w:line="360" w:lineRule="auto"/>
        <w:ind w:left="1197" w:leftChars="57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</w:rPr>
        <w:t>流线按流动方向不同，可分为</w:t>
      </w:r>
      <w:r>
        <w:rPr>
          <w:rFonts w:hint="eastAsia" w:ascii="宋体" w:hAnsi="宋体" w:eastAsia="宋体" w:cs="宋体"/>
          <w:sz w:val="24"/>
          <w:lang w:val="en-US" w:eastAsia="zh-CN"/>
        </w:rPr>
        <w:t>同向</w: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两大流线</w:t>
      </w:r>
    </w:p>
    <w:p>
      <w:pPr>
        <w:spacing w:line="360" w:lineRule="auto"/>
        <w:ind w:left="1197" w:leftChars="57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7、旅客运输计划，按其组织形式又可分为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技术计划、日常计划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三种。</w:t>
      </w:r>
    </w:p>
    <w:p>
      <w:pPr>
        <w:spacing w:line="360" w:lineRule="auto"/>
        <w:ind w:left="1197" w:leftChars="57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8、客流调查分为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综合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调查，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调查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和日常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调查三种。</w:t>
      </w:r>
    </w:p>
    <w:p>
      <w:p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9、旅客人身伤害按其程度分为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轻伤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重伤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</w:p>
    <w:p>
      <w:pPr>
        <w:spacing w:line="360" w:lineRule="auto"/>
        <w:ind w:firstLine="1200" w:firstLineChars="500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10、造成运输阻碍的原因有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自然灾害、旅客责任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87" w:leftChars="232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87" w:leftChars="232" w:firstLine="0" w:firstLineChars="0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题，每小题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分。每小题只有一个正确选项）</w:t>
      </w:r>
    </w:p>
    <w:p>
      <w:pPr>
        <w:spacing w:before="156" w:beforeLines="50" w:after="156" w:afterLines="50" w:line="360" w:lineRule="auto"/>
        <w:ind w:left="487" w:leftChars="232" w:firstLine="0" w:firstLineChars="0"/>
        <w:outlineLvl w:val="1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1、行李、包裹运输合同自（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）时起成立。</w:t>
      </w:r>
    </w:p>
    <w:p>
      <w:pPr>
        <w:spacing w:before="156" w:beforeLines="50" w:after="156" w:afterLines="50" w:line="360" w:lineRule="auto"/>
        <w:ind w:left="487" w:leftChars="232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A、承运人接收行李、包裹    B、旅客开始承办行李、包裹手续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C、承运人接收行包并填发行李票、包裹票    D、旅客填写行李票包裹票</w:t>
      </w:r>
    </w:p>
    <w:p>
      <w:pPr>
        <w:spacing w:before="156" w:beforeLines="50" w:after="156" w:afterLines="50" w:line="360" w:lineRule="auto"/>
        <w:ind w:left="487" w:leftChars="232" w:firstLine="0" w:firstLineChars="0"/>
        <w:outlineLvl w:val="1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2、新生凭（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）可购买学生票。</w:t>
      </w:r>
    </w:p>
    <w:p>
      <w:pPr>
        <w:spacing w:before="156" w:beforeLines="50" w:after="156" w:afterLines="50" w:line="360" w:lineRule="auto"/>
        <w:ind w:left="487" w:leftChars="232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A、学校书面证明B、录取通知书C、减价优待证D、居委会证</w:t>
      </w:r>
    </w:p>
    <w:p>
      <w:pPr>
        <w:spacing w:before="156" w:beforeLines="50" w:after="156" w:afterLines="50" w:line="360" w:lineRule="auto"/>
        <w:ind w:left="487" w:leftChars="232" w:firstLine="0" w:firstLineChars="0"/>
        <w:outlineLvl w:val="1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3、办理客运的车站主要设施应包括（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）。</w:t>
      </w:r>
    </w:p>
    <w:p>
      <w:pPr>
        <w:spacing w:before="156" w:beforeLines="50" w:after="156" w:afterLines="50" w:line="360" w:lineRule="auto"/>
        <w:ind w:left="487" w:leftChars="232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A、站房、站场、站前广场       B、站房、站场</w:t>
      </w:r>
    </w:p>
    <w:p>
      <w:pPr>
        <w:spacing w:before="156" w:beforeLines="50" w:after="156" w:afterLines="50" w:line="360" w:lineRule="auto"/>
        <w:ind w:left="487" w:leftChars="232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C、站房、站台、雨棚、天桥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D、站房、天桥、 地道</w:t>
      </w:r>
    </w:p>
    <w:p>
      <w:pPr>
        <w:spacing w:before="156" w:beforeLines="50" w:after="156" w:afterLines="50" w:line="360" w:lineRule="auto"/>
        <w:ind w:left="487" w:leftChars="232" w:firstLine="0" w:firstLineChars="0"/>
        <w:outlineLvl w:val="1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4、包车人改变或取消用车计划时，应向承运人缴付（  ）</w:t>
      </w:r>
    </w:p>
    <w:p>
      <w:pPr>
        <w:spacing w:before="156" w:beforeLines="50" w:after="156" w:afterLines="50" w:line="360" w:lineRule="auto"/>
        <w:ind w:left="487" w:leftChars="232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A、延期使用费或停止使用费      B、停止使用费或停留费</w:t>
      </w:r>
    </w:p>
    <w:p>
      <w:pPr>
        <w:spacing w:before="156" w:beforeLines="50" w:after="156" w:afterLines="50" w:line="360" w:lineRule="auto"/>
        <w:ind w:left="487" w:leftChars="232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C、延期使用费和停止使用费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D、停止使用费和停留费</w:t>
      </w:r>
    </w:p>
    <w:p>
      <w:pPr>
        <w:spacing w:line="360" w:lineRule="auto"/>
        <w:ind w:firstLine="480" w:firstLineChars="200"/>
        <w:outlineLvl w:val="1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5、下列属于铁路过失造成运输阻碍的是（  ）。</w:t>
      </w:r>
    </w:p>
    <w:p>
      <w:pPr>
        <w:spacing w:line="360" w:lineRule="auto"/>
        <w:ind w:left="479" w:leftChars="228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A、列车严重超员    B、火灾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C、爆炸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D、乱扔烟头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铁路旅客运输合同的基本凭证是（  ）。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A、特种乘车证 B、铁路乘车证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C、车票   D、附加票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578485</wp:posOffset>
                </wp:positionH>
                <wp:positionV relativeFrom="paragraph">
                  <wp:posOffset>187325</wp:posOffset>
                </wp:positionV>
                <wp:extent cx="35560" cy="7172325"/>
                <wp:effectExtent l="12700" t="12700" r="15240" b="15875"/>
                <wp:wrapNone/>
                <wp:docPr id="5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560" cy="7172325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5.55pt;margin-top:14.75pt;height:564.75pt;width:2.8pt;z-index:251664384;mso-width-relative:page;mso-height-relative:page;" filled="f" stroked="t" coordsize="21600,21600" o:gfxdata="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Lg&#10;mA3YAAAACQEAAA8AAAAAAAAAAQAgAAAAIgAAAGRycy9kb3ducmV2LnhtbFBLAQIUABQAAAAIAIdO&#10;4kABhaaq6gEAANIDAAAOAAAAAAAAAAEAIAAAACcBAABkcnMvZTJvRG9jLnhtbFBLBQYAAAAABgAG&#10;AFkBAACD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7、由于旅客原因退票的必须在开车前（  ）小时办理。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A、1.5        B、1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C、2            D、2.5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8、（  ）售出后，不办理退票。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A、附加票       B、车票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C、站台票       D、客票</w:t>
      </w:r>
    </w:p>
    <w:p>
      <w:pPr>
        <w:spacing w:line="360" w:lineRule="auto"/>
        <w:ind w:left="1260" w:leftChars="0" w:firstLine="0" w:firstLineChars="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9、普通大、专院校，军事院校，技工学校就读的无收入学生，每可享受家庭至学校之间（  ）单程半价硬座客票、加快票、空调票。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A、2次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B、4次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C、6次         D、8次</w:t>
      </w:r>
    </w:p>
    <w:p>
      <w:pPr>
        <w:spacing w:line="360" w:lineRule="auto"/>
        <w:ind w:left="1260" w:leftChars="0" w:firstLine="0" w:firstLineChars="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10、持站台票上车并在开车（  ）后仍不声明的，按无票乘车处理。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A、10分             B、20分       C、30分      D、40分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11、旅客托运行李时，必须提出有效的客票和（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）。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A、包裹票          B、行李票     C、托运单      D、货签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12、一个团体旅客，其中有40个成人，10个儿童(均应购买儿童票)，按照对团体旅客优惠办法的规定，应购买（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）。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A、36个成人票，10个儿童票   B、38个成人票，8个儿童票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C、37个成人票，10个儿童票   D、40个成人票，6个儿童票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13、行李运价率为硬座客票票价率的（  ）。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A、1%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B、0.5%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C、2%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D、0.01%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14、客运杂费是指除去旅客（  ）以外，铁路运输企业向旅客、托运人、收货人提供辅助作业、劳务及物耗所收的费用     </w:t>
      </w:r>
    </w:p>
    <w:p>
      <w:pPr>
        <w:spacing w:line="360" w:lineRule="auto"/>
        <w:ind w:left="126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A、基本票价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B、附加票价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C、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定票费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D、车票票价、包裹运价</w:t>
      </w:r>
    </w:p>
    <w:p>
      <w:pPr>
        <w:spacing w:line="360" w:lineRule="auto"/>
        <w:ind w:left="1199" w:leftChars="228" w:hanging="720" w:hangingChars="3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15、因承运人责任，致使旅客在到站退票，退还（  ），未使用部分不足起码里程按起码里程计算。</w:t>
      </w:r>
    </w:p>
    <w:p>
      <w:pPr>
        <w:spacing w:line="360" w:lineRule="auto"/>
        <w:ind w:left="479" w:leftChars="228" w:firstLine="0" w:firstLineChars="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360" w:lineRule="auto"/>
        <w:ind w:left="479" w:leftChars="0" w:firstLine="66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A、已收票价与已使用部分票价差额  </w:t>
      </w:r>
    </w:p>
    <w:p>
      <w:pPr>
        <w:spacing w:line="360" w:lineRule="auto"/>
        <w:ind w:left="479" w:leftChars="0" w:firstLine="66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B、已收票价与已乘区间部分票价差额      </w:t>
      </w:r>
    </w:p>
    <w:p>
      <w:pPr>
        <w:spacing w:line="360" w:lineRule="auto"/>
        <w:ind w:left="479" w:leftChars="0" w:firstLine="66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C、已收票价与未使用部分票价差额 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D、全部票价</w:t>
      </w:r>
    </w:p>
    <w:p>
      <w:pPr>
        <w:pStyle w:val="3"/>
        <w:spacing w:before="59" w:line="184" w:lineRule="auto"/>
        <w:ind w:left="545" w:leftChars="0" w:firstLine="66" w:firstLineChars="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三、名词解释（本大题共4题，5分一题，共20分）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                                                                                       </w:t>
      </w:r>
    </w:p>
    <w:p>
      <w:pPr>
        <w:pStyle w:val="3"/>
        <w:spacing w:before="59" w:line="184" w:lineRule="auto"/>
        <w:ind w:left="545" w:leftChars="0" w:firstLine="66" w:firstLineChars="0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numPr>
          <w:ilvl w:val="0"/>
          <w:numId w:val="1"/>
        </w:numPr>
        <w:spacing w:before="59" w:line="184" w:lineRule="auto"/>
        <w:ind w:left="545" w:leftChars="0" w:firstLine="66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直达票</w:t>
      </w:r>
    </w:p>
    <w:p>
      <w:pPr>
        <w:pStyle w:val="3"/>
        <w:spacing w:before="59" w:line="184" w:lineRule="auto"/>
        <w:ind w:left="545" w:leftChars="0" w:firstLine="66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545" w:leftChars="0" w:firstLine="66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1"/>
        </w:numPr>
        <w:spacing w:before="59" w:line="184" w:lineRule="auto"/>
        <w:ind w:left="545" w:leftChars="0" w:firstLine="66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运输合同</w:t>
      </w: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="545" w:leftChars="0" w:firstLine="66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="545" w:leftChars="0" w:firstLine="66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1"/>
        </w:numPr>
        <w:spacing w:before="59" w:line="184" w:lineRule="auto"/>
        <w:ind w:left="545" w:leftChars="0" w:firstLine="66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旅客票价附加费用</w:t>
      </w:r>
    </w:p>
    <w:p>
      <w:pPr>
        <w:pStyle w:val="3"/>
        <w:numPr>
          <w:ilvl w:val="0"/>
          <w:numId w:val="0"/>
        </w:numPr>
        <w:spacing w:before="59" w:line="184" w:lineRule="auto"/>
        <w:ind w:left="545" w:leftChars="0" w:firstLine="66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spacing w:before="59" w:line="184" w:lineRule="auto"/>
        <w:ind w:left="545" w:leftChars="0" w:firstLine="66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1"/>
        </w:numPr>
        <w:spacing w:before="59" w:line="184" w:lineRule="auto"/>
        <w:ind w:left="545" w:leftChars="0" w:firstLine="66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旅客周转量</w:t>
      </w:r>
    </w:p>
    <w:p>
      <w:pPr>
        <w:pStyle w:val="3"/>
        <w:numPr>
          <w:ilvl w:val="0"/>
          <w:numId w:val="0"/>
        </w:numPr>
        <w:spacing w:before="59" w:line="184" w:lineRule="auto"/>
        <w:ind w:left="545" w:leftChars="0" w:firstLine="66" w:firstLineChars="0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="611" w:leftChars="0"/>
        <w:jc w:val="left"/>
        <w:textAlignment w:val="baseline"/>
        <w:outlineLvl w:val="0"/>
        <w:rPr>
          <w:rFonts w:hint="eastAsia" w:cs="宋体"/>
          <w:b/>
          <w:bCs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="611" w:leftChars="0"/>
        <w:jc w:val="left"/>
        <w:textAlignment w:val="baseline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简答题（本大题共</w:t>
      </w: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题，</w:t>
      </w: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分一题，共</w:t>
      </w: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0分）</w:t>
      </w:r>
    </w:p>
    <w:p>
      <w:pPr>
        <w:pStyle w:val="3"/>
        <w:numPr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="611" w:left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numPr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="611" w:left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旅客运输产品的质量特性</w:t>
      </w: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="545" w:leftChars="0" w:firstLine="66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numPr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="611" w:leftChars="0"/>
        <w:jc w:val="left"/>
        <w:textAlignment w:val="baseline"/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numPr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="611" w:left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服务市场的特点？</w:t>
      </w: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="545" w:leftChars="0" w:firstLine="66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="545" w:leftChars="0" w:firstLine="66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numPr>
          <w:numId w:val="0"/>
        </w:numPr>
        <w:spacing w:before="59" w:line="184" w:lineRule="auto"/>
        <w:ind w:left="611" w:leftChars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轻伤、重伤、死亡</w:t>
      </w:r>
    </w:p>
    <w:p>
      <w:pPr>
        <w:pStyle w:val="3"/>
        <w:spacing w:before="59" w:line="184" w:lineRule="auto"/>
        <w:ind w:left="6320" w:leftChars="1200" w:hanging="3800" w:hangingChars="1900"/>
        <w:rPr>
          <w:rFonts w:hint="eastAsia" w:eastAsia="宋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  <w:r>
        <w:rPr>
          <w:rFonts w:hint="eastAsia"/>
          <w:color w:val="auto"/>
          <w:lang w:val="en-US" w:eastAsia="zh-CN"/>
        </w:rPr>
        <w:t xml:space="preserve">              </w:t>
      </w: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tabs>
                              <w:tab w:val="left" w:pos="7040"/>
                              <w:tab w:val="clear" w:pos="4153"/>
                            </w:tabs>
                            <w:rPr>
                              <w:rFonts w:hint="default"/>
                              <w:lang w:val="en-US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val="en-US" w:eastAsia="zh-CN"/>
                            </w:rPr>
                            <w:t xml:space="preserve">  《铁路客运组织》第1页共2页</w:t>
                          </w:r>
                        </w:p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tabs>
                        <w:tab w:val="left" w:pos="7040"/>
                        <w:tab w:val="clear" w:pos="4153"/>
                      </w:tabs>
                      <w:rPr>
                        <w:rFonts w:hint="default"/>
                        <w:lang w:val="en-US"/>
                      </w:rPr>
                    </w:pPr>
                    <w:r>
                      <w:rPr>
                        <w:rFonts w:hint="eastAsia" w:eastAsia="宋体"/>
                        <w:sz w:val="18"/>
                        <w:lang w:val="en-US" w:eastAsia="zh-CN"/>
                      </w:rPr>
                      <w:t xml:space="preserve">  《铁路客运组织》第1页共2页</w:t>
                    </w:r>
                  </w:p>
                  <w:p/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7BB83C"/>
    <w:multiLevelType w:val="singleLevel"/>
    <w:tmpl w:val="7B7BB83C"/>
    <w:lvl w:ilvl="0" w:tentative="0">
      <w:start w:val="1"/>
      <w:numFmt w:val="decimal"/>
      <w:suff w:val="nothing"/>
      <w:lvlText w:val="%1、"/>
      <w:lvlJc w:val="left"/>
      <w:pPr>
        <w:ind w:left="22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I2N2JkYTMwYThjZjVkZmYwZmZkZmVlMzBjOGQxMDU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6A0B80"/>
    <w:rsid w:val="0A964223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5F3784"/>
    <w:rsid w:val="1C827473"/>
    <w:rsid w:val="1D1C0D08"/>
    <w:rsid w:val="1E676003"/>
    <w:rsid w:val="1F1B6612"/>
    <w:rsid w:val="21367339"/>
    <w:rsid w:val="22283916"/>
    <w:rsid w:val="223C34B6"/>
    <w:rsid w:val="22680EB9"/>
    <w:rsid w:val="22A43F3D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4B176EC"/>
    <w:rsid w:val="35DC060F"/>
    <w:rsid w:val="36227ADF"/>
    <w:rsid w:val="36F54E74"/>
    <w:rsid w:val="3742313D"/>
    <w:rsid w:val="37C46192"/>
    <w:rsid w:val="37DF230D"/>
    <w:rsid w:val="38650F93"/>
    <w:rsid w:val="39CE1DD6"/>
    <w:rsid w:val="3B3A750D"/>
    <w:rsid w:val="3C935428"/>
    <w:rsid w:val="3E1A7945"/>
    <w:rsid w:val="40E9418A"/>
    <w:rsid w:val="41990C37"/>
    <w:rsid w:val="41C9600D"/>
    <w:rsid w:val="42F425C9"/>
    <w:rsid w:val="44136C9F"/>
    <w:rsid w:val="46CE305D"/>
    <w:rsid w:val="474E3808"/>
    <w:rsid w:val="47B70069"/>
    <w:rsid w:val="47D94FFF"/>
    <w:rsid w:val="48E37E44"/>
    <w:rsid w:val="4AFC3B03"/>
    <w:rsid w:val="4BBF74EC"/>
    <w:rsid w:val="4BE20ABA"/>
    <w:rsid w:val="4CBD6984"/>
    <w:rsid w:val="4D7560B4"/>
    <w:rsid w:val="4E197397"/>
    <w:rsid w:val="4E5C54C6"/>
    <w:rsid w:val="4ED7041B"/>
    <w:rsid w:val="50D92558"/>
    <w:rsid w:val="51203E69"/>
    <w:rsid w:val="51D610EC"/>
    <w:rsid w:val="52671551"/>
    <w:rsid w:val="531743D9"/>
    <w:rsid w:val="53BA0A12"/>
    <w:rsid w:val="53FA7327"/>
    <w:rsid w:val="55FC732F"/>
    <w:rsid w:val="57437223"/>
    <w:rsid w:val="57FB47AE"/>
    <w:rsid w:val="590D7AE9"/>
    <w:rsid w:val="59CB0AE7"/>
    <w:rsid w:val="5A00764E"/>
    <w:rsid w:val="5AAA23F4"/>
    <w:rsid w:val="5AE1502C"/>
    <w:rsid w:val="5D00015E"/>
    <w:rsid w:val="5DBF0099"/>
    <w:rsid w:val="5E691066"/>
    <w:rsid w:val="5E9933F8"/>
    <w:rsid w:val="5EEC6C1A"/>
    <w:rsid w:val="5F0B7D72"/>
    <w:rsid w:val="61CC6DC8"/>
    <w:rsid w:val="61F746E0"/>
    <w:rsid w:val="62F365E9"/>
    <w:rsid w:val="631D157D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3AC06D5"/>
    <w:rsid w:val="74651452"/>
    <w:rsid w:val="787967BC"/>
    <w:rsid w:val="7A85352B"/>
    <w:rsid w:val="7ABA3779"/>
    <w:rsid w:val="7B884CF0"/>
    <w:rsid w:val="7BAF6AAF"/>
    <w:rsid w:val="7CE4760E"/>
    <w:rsid w:val="7CF84488"/>
    <w:rsid w:val="7D5C301D"/>
    <w:rsid w:val="7D6015DA"/>
    <w:rsid w:val="7DFF53A3"/>
    <w:rsid w:val="7F246E64"/>
    <w:rsid w:val="7F7003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1360</Words>
  <Characters>1415</Characters>
  <TotalTime>5</TotalTime>
  <ScaleCrop>false</ScaleCrop>
  <LinksUpToDate>false</LinksUpToDate>
  <CharactersWithSpaces>2274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刘凌瑶    18270904652</cp:lastModifiedBy>
  <dcterms:modified xsi:type="dcterms:W3CDTF">2024-05-14T06:33:29Z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2052-12.1.0.16729</vt:lpwstr>
  </property>
  <property fmtid="{D5CDD505-2E9C-101B-9397-08002B2CF9AE}" pid="5" name="ICV">
    <vt:lpwstr>70E08223781B470DB95B1408AC5B3521_13</vt:lpwstr>
  </property>
</Properties>
</file>