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b/>
          <w:bCs/>
          <w:color w:val="auto"/>
          <w:sz w:val="24"/>
          <w:szCs w:val="24"/>
        </w:rPr>
      </w:pP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-732155</wp:posOffset>
                </wp:positionV>
                <wp:extent cx="25400" cy="7574280"/>
                <wp:effectExtent l="12700" t="12700" r="19050" b="13970"/>
                <wp:wrapNone/>
                <wp:docPr id="6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7.05pt;margin-top:-57.65pt;height:596.4pt;width:2pt;z-index:251661312;mso-width-relative:page;mso-height-relative:page;" filled="f" stroked="t" coordsize="21600,21600" o:gfxdata="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6ZcOtkAAAANAQAADwAAAAAAAAABACAAAAAiAAAAZHJz&#10;L2Rvd25yZXYueG1sUEsBAhQAFAAAAAgAh07iQEUkMOPKAQAAhAMAAA4AAAAAAAAAAQAgAAAAKAEA&#10;AGRycy9lMm9Eb2MueG1sUEsFBgAAAAAGAAYAWQEAAGQ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-688975</wp:posOffset>
                </wp:positionH>
                <wp:positionV relativeFrom="paragraph">
                  <wp:posOffset>-220980</wp:posOffset>
                </wp:positionV>
                <wp:extent cx="571500" cy="1130935"/>
                <wp:effectExtent l="9525" t="9525" r="9525" b="21590"/>
                <wp:wrapNone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130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袁祖文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default" w:eastAsia="宋体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沈武将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54.25pt;margin-top:-17.4pt;height:89.05pt;width:45pt;z-index:251660288;mso-width-relative:page;mso-height-relative:page;" fillcolor="#FFFFFF" filled="t" stroked="t" coordsize="21600,21600" o:gfxdata="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y7pZU2AAAAAwBAAAPAAAAAAAAAAEAIAAA&#10;ACIAAABkcnMvZG93bnJldi54bWxQSwECFAAUAAAACACHTuJA53bo7AwCAAAsBAAADgAAAAAAAAAB&#10;ACAAAAAnAQAAZHJzL2Uyb0RvYy54bWxQSwUGAAAAAAYABgBZAQAApQUAAAAA&#10;">
                <v:fill on="t" focussize="0,0"/>
                <v:stroke weight="1.5pt" color="#000000" miterlimit="8" joinstyle="miter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line="400" w:lineRule="exact"/>
                        <w:rPr>
                          <w:rFonts w:hint="eastAsia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命题人：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eastAsia="zh-CN"/>
                        </w:rPr>
                        <w:t>袁祖文</w:t>
                      </w:r>
                    </w:p>
                    <w:p>
                      <w:pPr>
                        <w:spacing w:line="400" w:lineRule="exact"/>
                        <w:rPr>
                          <w:rFonts w:hint="default" w:eastAsia="宋体"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Cs/>
                          <w:sz w:val="18"/>
                          <w:szCs w:val="18"/>
                        </w:rPr>
                        <w:t>审核人：</w:t>
                      </w:r>
                      <w:r>
                        <w:rPr>
                          <w:rFonts w:hint="eastAsia"/>
                          <w:bCs/>
                          <w:sz w:val="18"/>
                          <w:szCs w:val="18"/>
                          <w:lang w:val="en-US" w:eastAsia="zh-CN"/>
                        </w:rPr>
                        <w:t>沈武将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eastAsia="黑体"/>
          <w:b/>
          <w:bCs/>
          <w:color w:val="auto"/>
          <w:sz w:val="24"/>
          <w:szCs w:val="24"/>
        </w:rPr>
        <w:t>新兴产业工程学校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2024</w:t>
      </w:r>
      <w:r>
        <w:rPr>
          <w:rFonts w:eastAsia="黑体"/>
          <w:b/>
          <w:bCs/>
          <w:color w:val="auto"/>
          <w:sz w:val="24"/>
          <w:szCs w:val="24"/>
        </w:rPr>
        <w:t>~20</w:t>
      </w:r>
      <w:r>
        <w:rPr>
          <w:rFonts w:hint="eastAsia" w:eastAsia="黑体"/>
          <w:b/>
          <w:bCs/>
          <w:color w:val="auto"/>
          <w:sz w:val="24"/>
          <w:szCs w:val="24"/>
        </w:rPr>
        <w:t>2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eastAsia="黑体"/>
          <w:b/>
          <w:bCs/>
          <w:color w:val="auto"/>
          <w:sz w:val="24"/>
          <w:szCs w:val="24"/>
        </w:rPr>
        <w:t>学年第</w:t>
      </w:r>
      <w:r>
        <w:rPr>
          <w:rFonts w:hint="eastAsia" w:eastAsia="黑体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eastAsia="黑体"/>
          <w:b/>
          <w:bCs/>
          <w:color w:val="auto"/>
          <w:sz w:val="24"/>
          <w:szCs w:val="24"/>
        </w:rPr>
        <w:t>学期期</w:t>
      </w:r>
      <w:r>
        <w:rPr>
          <w:rFonts w:hint="eastAsia" w:eastAsia="黑体"/>
          <w:b/>
          <w:bCs/>
          <w:color w:val="auto"/>
          <w:sz w:val="24"/>
          <w:szCs w:val="24"/>
        </w:rPr>
        <w:t>末</w:t>
      </w:r>
      <w:r>
        <w:rPr>
          <w:rFonts w:eastAsia="黑体"/>
          <w:b/>
          <w:bCs/>
          <w:color w:val="auto"/>
          <w:sz w:val="24"/>
          <w:szCs w:val="24"/>
        </w:rPr>
        <w:t>考试卷</w:t>
      </w:r>
    </w:p>
    <w:p>
      <w:pPr>
        <w:jc w:val="left"/>
        <w:rPr>
          <w:rFonts w:eastAsia="楷体_GB2312"/>
          <w:bCs/>
          <w:color w:val="auto"/>
          <w:szCs w:val="18"/>
          <w:u w:val="single"/>
        </w:rPr>
      </w:pPr>
      <w:r>
        <w:rPr>
          <w:rFonts w:eastAsia="黑体"/>
          <w:b/>
          <w:color w:val="auto"/>
          <w:szCs w:val="18"/>
        </w:rPr>
        <w:t xml:space="preserve"> </w:t>
      </w:r>
      <w:r>
        <w:rPr>
          <w:rFonts w:hint="eastAsia" w:eastAsia="黑体"/>
          <w:b/>
          <w:color w:val="auto"/>
          <w:szCs w:val="18"/>
          <w:lang w:val="en-US" w:eastAsia="zh-CN"/>
        </w:rPr>
        <w:t xml:space="preserve"> </w:t>
      </w:r>
      <w:r>
        <w:rPr>
          <w:rFonts w:eastAsia="黑体"/>
          <w:b/>
          <w:color w:val="auto"/>
          <w:szCs w:val="18"/>
        </w:rPr>
        <w:t xml:space="preserve"> </w:t>
      </w:r>
      <w:r>
        <w:rPr>
          <w:rFonts w:hint="eastAsia" w:eastAsia="黑体"/>
          <w:b/>
          <w:color w:val="auto"/>
          <w:szCs w:val="18"/>
          <w:lang w:val="en-US" w:eastAsia="zh-CN"/>
        </w:rPr>
        <w:t xml:space="preserve"> </w:t>
      </w:r>
      <w:r>
        <w:rPr>
          <w:rFonts w:eastAsia="楷体_GB2312"/>
          <w:b/>
          <w:color w:val="auto"/>
          <w:szCs w:val="18"/>
        </w:rPr>
        <w:t>学院：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szCs w:val="18"/>
          <w:u w:val="single"/>
          <w:lang w:eastAsia="zh-CN"/>
        </w:rPr>
        <w:t>新余</w:t>
      </w:r>
      <w:r>
        <w:rPr>
          <w:rFonts w:hint="eastAsia" w:eastAsia="楷体_GB2312"/>
          <w:bCs/>
          <w:color w:val="auto"/>
          <w:szCs w:val="18"/>
          <w:u w:val="single"/>
        </w:rPr>
        <w:t>新兴产业工程学校</w:t>
      </w:r>
      <w:r>
        <w:rPr>
          <w:rFonts w:eastAsia="楷体_GB2312"/>
          <w:bCs/>
          <w:color w:val="auto"/>
          <w:szCs w:val="18"/>
          <w:u w:val="single"/>
        </w:rPr>
        <w:t xml:space="preserve">   </w:t>
      </w:r>
      <w:r>
        <w:rPr>
          <w:rFonts w:eastAsia="楷体_GB2312"/>
          <w:b/>
          <w:color w:val="auto"/>
          <w:szCs w:val="18"/>
        </w:rPr>
        <w:t xml:space="preserve"> </w:t>
      </w:r>
      <w:r>
        <w:rPr>
          <w:rFonts w:eastAsia="楷体_GB2312"/>
          <w:b/>
          <w:color w:val="auto"/>
          <w:w w:val="80"/>
          <w:szCs w:val="18"/>
        </w:rPr>
        <w:t>课程名称</w:t>
      </w:r>
      <w:r>
        <w:rPr>
          <w:rFonts w:eastAsia="楷体_GB2312"/>
          <w:b/>
          <w:color w:val="auto"/>
          <w:szCs w:val="18"/>
        </w:rPr>
        <w:t>：</w:t>
      </w:r>
      <w:r>
        <w:rPr>
          <w:rFonts w:hint="eastAsia" w:eastAsia="楷体_GB2312"/>
          <w:b/>
          <w:color w:val="auto"/>
          <w:szCs w:val="18"/>
          <w:u w:val="single"/>
          <w:lang w:val="en-US" w:eastAsia="zh-CN"/>
        </w:rPr>
        <w:t xml:space="preserve">     汽车电池</w:t>
      </w:r>
      <w:r>
        <w:rPr>
          <w:rFonts w:eastAsia="楷体_GB2312"/>
          <w:bCs/>
          <w:color w:val="auto"/>
          <w:szCs w:val="18"/>
          <w:u w:val="single"/>
        </w:rPr>
        <w:t xml:space="preserve">　 </w:t>
      </w:r>
    </w:p>
    <w:p>
      <w:pPr>
        <w:ind w:firstLine="380" w:firstLineChars="200"/>
        <w:jc w:val="left"/>
        <w:rPr>
          <w:rFonts w:eastAsia="楷体_GB2312"/>
          <w:b/>
          <w:color w:val="auto"/>
          <w:w w:val="80"/>
          <w:szCs w:val="18"/>
        </w:rPr>
      </w:pPr>
      <w:r>
        <w:rPr>
          <w:rFonts w:eastAsia="楷体_GB2312"/>
          <w:b/>
          <w:color w:val="auto"/>
          <w:szCs w:val="18"/>
        </w:rPr>
        <w:t>适用范围</w:t>
      </w:r>
      <w:r>
        <w:rPr>
          <w:rFonts w:eastAsia="楷体_GB2312"/>
          <w:b/>
          <w:color w:val="auto"/>
          <w:w w:val="80"/>
          <w:szCs w:val="18"/>
        </w:rPr>
        <w:t>：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 xml:space="preserve">23 </w:t>
      </w:r>
      <w:r>
        <w:rPr>
          <w:rFonts w:eastAsia="楷体_GB2312"/>
          <w:b/>
          <w:color w:val="auto"/>
          <w:w w:val="80"/>
          <w:szCs w:val="18"/>
        </w:rPr>
        <w:t>级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>新能源</w:t>
      </w:r>
      <w:r>
        <w:rPr>
          <w:rFonts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eastAsia="楷体_GB2312"/>
          <w:b/>
          <w:color w:val="auto"/>
          <w:w w:val="80"/>
          <w:szCs w:val="18"/>
        </w:rPr>
        <w:t>专业</w:t>
      </w:r>
      <w:r>
        <w:rPr>
          <w:rFonts w:hint="eastAsia" w:eastAsia="楷体_GB2312"/>
          <w:bCs/>
          <w:color w:val="auto"/>
          <w:w w:val="80"/>
          <w:szCs w:val="18"/>
          <w:u w:val="single"/>
        </w:rPr>
        <w:t xml:space="preserve">  </w:t>
      </w:r>
      <w:r>
        <w:rPr>
          <w:rFonts w:hint="eastAsia" w:eastAsia="楷体_GB2312"/>
          <w:bCs/>
          <w:color w:val="auto"/>
          <w:w w:val="80"/>
          <w:szCs w:val="18"/>
          <w:u w:val="single"/>
          <w:lang w:val="en-US" w:eastAsia="zh-CN"/>
        </w:rPr>
        <w:t xml:space="preserve">1.2.3.4.5 </w:t>
      </w:r>
      <w:r>
        <w:rPr>
          <w:rFonts w:eastAsia="楷体_GB2312"/>
          <w:b/>
          <w:color w:val="auto"/>
          <w:w w:val="80"/>
          <w:szCs w:val="18"/>
        </w:rPr>
        <w:t xml:space="preserve">班  </w:t>
      </w:r>
    </w:p>
    <w:p>
      <w:pPr>
        <w:ind w:firstLine="380" w:firstLineChars="200"/>
        <w:jc w:val="left"/>
        <w:rPr>
          <w:rFonts w:eastAsia="楷体_GB2312"/>
          <w:bCs/>
          <w:color w:val="auto"/>
          <w:szCs w:val="18"/>
          <w:u w:val="single"/>
        </w:rPr>
      </w:pPr>
      <w:r>
        <w:rPr>
          <w:rFonts w:eastAsia="楷体_GB2312"/>
          <w:b/>
          <w:color w:val="auto"/>
          <w:szCs w:val="18"/>
        </w:rPr>
        <w:t>考试方式：</w:t>
      </w:r>
      <w:r>
        <w:rPr>
          <w:rFonts w:eastAsia="楷体_GB2312"/>
          <w:bCs/>
          <w:color w:val="auto"/>
          <w:szCs w:val="18"/>
          <w:u w:val="single"/>
        </w:rPr>
        <w:t xml:space="preserve"> 闭卷</w:t>
      </w:r>
      <w:r>
        <w:rPr>
          <w:rFonts w:hint="eastAsia" w:eastAsia="楷体_GB2312"/>
          <w:bCs/>
          <w:color w:val="auto"/>
          <w:szCs w:val="18"/>
          <w:u w:val="single"/>
          <w:lang w:val="en-US" w:eastAsia="zh-CN"/>
        </w:rPr>
        <w:t xml:space="preserve"> </w:t>
      </w:r>
      <w:r>
        <w:rPr>
          <w:rFonts w:eastAsia="楷体_GB2312"/>
          <w:bCs/>
          <w:color w:val="auto"/>
          <w:szCs w:val="18"/>
          <w:u w:val="single"/>
        </w:rPr>
        <w:t xml:space="preserve"> </w:t>
      </w:r>
      <w:r>
        <w:rPr>
          <w:rFonts w:eastAsia="楷体_GB2312"/>
          <w:b/>
          <w:color w:val="auto"/>
          <w:szCs w:val="18"/>
        </w:rPr>
        <w:t>印刷份数：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hint="eastAsia" w:eastAsia="楷体_GB2312"/>
          <w:bCs/>
          <w:color w:val="auto"/>
          <w:szCs w:val="18"/>
          <w:u w:val="single"/>
          <w:lang w:val="en-US" w:eastAsia="zh-CN"/>
        </w:rPr>
        <w:t>180</w:t>
      </w:r>
      <w:r>
        <w:rPr>
          <w:rFonts w:hint="eastAsia" w:eastAsia="楷体_GB2312"/>
          <w:bCs/>
          <w:color w:val="auto"/>
          <w:szCs w:val="18"/>
          <w:u w:val="single"/>
        </w:rPr>
        <w:t xml:space="preserve"> </w:t>
      </w:r>
      <w:r>
        <w:rPr>
          <w:rFonts w:eastAsia="楷体_GB2312"/>
          <w:bCs/>
          <w:color w:val="auto"/>
          <w:szCs w:val="18"/>
          <w:u w:val="single"/>
        </w:rPr>
        <w:t xml:space="preserve">份    </w:t>
      </w:r>
    </w:p>
    <w:tbl>
      <w:tblPr>
        <w:tblStyle w:val="3"/>
        <w:tblW w:w="5792" w:type="dxa"/>
        <w:jc w:val="center"/>
        <w:tblInd w:w="-5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794"/>
        <w:gridCol w:w="794"/>
        <w:gridCol w:w="794"/>
        <w:gridCol w:w="79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482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题号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一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二</w:t>
            </w:r>
          </w:p>
        </w:tc>
        <w:tc>
          <w:tcPr>
            <w:tcW w:w="794" w:type="dxa"/>
            <w:vAlign w:val="center"/>
          </w:tcPr>
          <w:p>
            <w:pPr>
              <w:spacing w:line="26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</w:rPr>
              <w:t>三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  <w:kern w:val="0"/>
                <w:szCs w:val="18"/>
              </w:rPr>
              <w:t>四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/>
                <w:color w:val="auto"/>
                <w:kern w:val="0"/>
                <w:szCs w:val="18"/>
              </w:rPr>
            </w:pPr>
            <w:r>
              <w:rPr>
                <w:b/>
                <w:bCs/>
                <w:color w:val="auto"/>
                <w:kern w:val="0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482" w:type="dxa"/>
            <w:vAlign w:val="center"/>
          </w:tcPr>
          <w:p>
            <w:pPr>
              <w:jc w:val="center"/>
              <w:rPr>
                <w:color w:val="auto"/>
                <w:kern w:val="0"/>
                <w:szCs w:val="18"/>
              </w:rPr>
            </w:pPr>
            <w:r>
              <w:rPr>
                <w:color w:val="auto"/>
              </w:rPr>
              <w:t>得分</w:t>
            </w: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79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auto"/>
                <w:kern w:val="0"/>
                <w:szCs w:val="18"/>
              </w:rPr>
            </w:pPr>
          </w:p>
        </w:tc>
      </w:tr>
    </w:tbl>
    <w:p>
      <w:pPr>
        <w:numPr>
          <w:ilvl w:val="0"/>
          <w:numId w:val="1"/>
        </w:numPr>
        <w:spacing w:line="240" w:lineRule="auto"/>
        <w:rPr>
          <w:rFonts w:hint="default"/>
          <w:b/>
          <w:bCs/>
          <w:color w:val="auto"/>
          <w:sz w:val="22"/>
          <w:szCs w:val="32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-680085</wp:posOffset>
                </wp:positionH>
                <wp:positionV relativeFrom="paragraph">
                  <wp:posOffset>8255</wp:posOffset>
                </wp:positionV>
                <wp:extent cx="579755" cy="513334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" cy="513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承诺：我将严格遵守考场纪律，并知道考试违纪、作弊的严重性，承担由此引起的一切后果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53.55pt;margin-top:0.65pt;height:404.2pt;width:45.65pt;z-index:251659264;mso-width-relative:page;mso-height-relative:page;" filled="f" stroked="f" coordsize="21600,21600" o:gfxdata="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8gJDTZAAAACgEAAA8AAAAAAAAAAQAgAAAAIgAAAGRycy9kb3ducmV2LnhtbFBLAQIUABQAAAAI&#10;AIdO4kDdX2Um7AEAAMkDAAAOAAAAAAAAAAEAIAAAACgBAABkcnMvZTJvRG9jLnhtbFBLBQYAAAAA&#10;BgAGAFkBAACG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  <w:szCs w:val="18"/>
                        </w:rPr>
                        <w:t>承诺：我将严格遵守考场纪律，并知道考试违纪、作弊的严重性，承担由此引起的一切后果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单项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选择题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（每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题 2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20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</w:t>
      </w:r>
      <w:r>
        <w:rPr>
          <w:color w:val="auto"/>
        </w:rPr>
        <w:t>电动汽车中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A 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将电能转换为机械能驱动车辆。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hint="eastAsia"/>
          <w:color w:val="auto"/>
          <w:lang w:val="en-US" w:eastAsia="zh-CN"/>
        </w:rPr>
        <w:t>A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>电动机</w:t>
      </w:r>
      <w:r>
        <w:rPr>
          <w:rFonts w:hint="eastAsia" w:ascii="宋体" w:hAnsi="宋体"/>
          <w:color w:val="auto"/>
          <w:szCs w:val="21"/>
        </w:rPr>
        <w:t xml:space="preserve"> 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发电机  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eastAsia" w:ascii="宋体" w:hAnsi="宋体"/>
          <w:color w:val="auto"/>
          <w:szCs w:val="21"/>
        </w:rPr>
        <w:t>.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压缩机  </w:t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 w:ascii="宋体" w:hAnsi="宋体"/>
          <w:color w:val="auto"/>
          <w:szCs w:val="21"/>
          <w:lang w:val="en-US" w:eastAsia="zh-CN"/>
        </w:rPr>
        <w:t>.交换机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以下部件不属于</w:t>
      </w:r>
      <w:r>
        <w:rPr>
          <w:color w:val="auto"/>
        </w:rPr>
        <w:t>动力电池控制器</w:t>
      </w:r>
      <w:r>
        <w:rPr>
          <w:rFonts w:hint="eastAsia"/>
          <w:color w:val="auto"/>
          <w:lang w:val="en-US" w:eastAsia="zh-CN"/>
        </w:rPr>
        <w:t xml:space="preserve">的是 </w:t>
      </w:r>
      <w:r>
        <w:rPr>
          <w:rFonts w:hint="eastAsia"/>
          <w:color w:val="auto"/>
        </w:rPr>
        <w:t xml:space="preserve">( 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/>
          <w:color w:val="auto"/>
        </w:rPr>
        <w:t xml:space="preserve">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/>
          <w:color w:val="auto"/>
        </w:rPr>
        <w:t xml:space="preserve">A.  </w:t>
      </w:r>
      <w:r>
        <w:rPr>
          <w:rFonts w:hint="eastAsia"/>
          <w:color w:val="auto"/>
          <w:u w:val="none"/>
        </w:rPr>
        <w:t xml:space="preserve">主正接触器    B.  </w:t>
      </w:r>
      <w:r>
        <w:rPr>
          <w:rFonts w:hint="eastAsia"/>
          <w:color w:val="auto"/>
          <w:lang w:val="en-US" w:eastAsia="zh-CN"/>
        </w:rPr>
        <w:t>DC/DC转换器</w:t>
      </w:r>
      <w:r>
        <w:rPr>
          <w:rFonts w:hint="eastAsia"/>
          <w:color w:val="auto"/>
          <w:u w:val="none"/>
        </w:rPr>
        <w:t xml:space="preserve">    C.  预充继电器</w:t>
      </w:r>
      <w:r>
        <w:rPr>
          <w:rFonts w:hint="eastAsia"/>
          <w:color w:val="auto"/>
          <w:lang w:val="en-US" w:eastAsia="zh-CN"/>
        </w:rPr>
        <w:t xml:space="preserve">  D.</w:t>
      </w:r>
      <w:r>
        <w:rPr>
          <w:rFonts w:hint="eastAsia"/>
          <w:color w:val="auto"/>
          <w:u w:val="none"/>
        </w:rPr>
        <w:t>主负接触器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color w:val="auto"/>
        </w:rPr>
        <w:t>.动力电池主要由</w:t>
      </w:r>
      <w:r>
        <w:rPr>
          <w:rFonts w:hint="eastAsia"/>
          <w:color w:val="auto"/>
          <w:u w:val="none"/>
        </w:rPr>
        <w:t>动力电池箱、电池模组（块）、</w:t>
      </w:r>
      <w:r>
        <w:rPr>
          <w:color w:val="auto"/>
          <w:u w:val="none"/>
        </w:rPr>
        <w:t>电池控制器</w:t>
      </w:r>
      <w:r>
        <w:rPr>
          <w:rFonts w:hint="eastAsia"/>
          <w:color w:val="auto"/>
          <w:u w:val="none"/>
        </w:rPr>
        <w:t>、</w:t>
      </w:r>
      <w:r>
        <w:rPr>
          <w:rFonts w:hint="eastAsia"/>
          <w:color w:val="auto"/>
          <w:u w:val="none"/>
          <w:lang w:val="en-US" w:eastAsia="zh-CN"/>
        </w:rPr>
        <w:t>(  C  )</w:t>
      </w:r>
      <w:r>
        <w:rPr>
          <w:color w:val="auto"/>
        </w:rPr>
        <w:t>及其他辅助装置等组成。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A. VCU       B. MCU      C. BMS       D.PRA 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color w:val="auto"/>
        </w:rPr>
        <w:t>动力电池管理系统的作用</w:t>
      </w:r>
      <w:r>
        <w:rPr>
          <w:rFonts w:hint="eastAsia"/>
          <w:color w:val="auto"/>
          <w:lang w:val="en-US" w:eastAsia="zh-CN"/>
        </w:rPr>
        <w:t>不</w:t>
      </w:r>
      <w:r>
        <w:rPr>
          <w:color w:val="auto"/>
        </w:rPr>
        <w:t>包括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D </w:t>
      </w:r>
      <w:r>
        <w:rPr>
          <w:rFonts w:hint="eastAsia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A、</w:t>
      </w:r>
      <w:r>
        <w:rPr>
          <w:rFonts w:hint="eastAsia"/>
          <w:color w:val="auto"/>
          <w:u w:val="none"/>
        </w:rPr>
        <w:t>绝缘监测</w:t>
      </w:r>
      <w:r>
        <w:rPr>
          <w:rFonts w:hint="eastAsia"/>
          <w:color w:val="auto"/>
          <w:lang w:val="en-US" w:eastAsia="zh-CN"/>
        </w:rPr>
        <w:t xml:space="preserve">  B、</w:t>
      </w:r>
      <w:r>
        <w:rPr>
          <w:rFonts w:hint="eastAsia"/>
          <w:color w:val="auto"/>
          <w:u w:val="none"/>
        </w:rPr>
        <w:t>估算动力蓄电池荷电状态（</w:t>
      </w:r>
      <w:r>
        <w:rPr>
          <w:color w:val="auto"/>
          <w:u w:val="none"/>
        </w:rPr>
        <w:t>SOC）</w:t>
      </w:r>
      <w:r>
        <w:rPr>
          <w:rFonts w:hint="eastAsia"/>
          <w:color w:val="auto"/>
          <w:lang w:val="en-US" w:eastAsia="zh-CN"/>
        </w:rPr>
        <w:t xml:space="preserve">  C、</w:t>
      </w:r>
      <w:r>
        <w:rPr>
          <w:rFonts w:hint="eastAsia"/>
          <w:color w:val="auto"/>
          <w:u w:val="none"/>
        </w:rPr>
        <w:t>报警</w:t>
      </w:r>
      <w:r>
        <w:rPr>
          <w:rFonts w:hint="eastAsia"/>
          <w:color w:val="auto"/>
          <w:lang w:val="en-US" w:eastAsia="zh-CN"/>
        </w:rPr>
        <w:t xml:space="preserve">   D、能量回收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</w:rPr>
        <w:t>5、</w:t>
      </w:r>
      <w:r>
        <w:rPr>
          <w:rFonts w:hint="eastAsia" w:ascii="宋体" w:hAnsi="宋体"/>
          <w:color w:val="auto"/>
          <w:szCs w:val="21"/>
          <w:lang w:val="en-US" w:eastAsia="zh-CN"/>
        </w:rPr>
        <w:t>下列不属于</w:t>
      </w:r>
      <w:r>
        <w:rPr>
          <w:color w:val="auto"/>
        </w:rPr>
        <w:t>重整燃料电池电动汽车的燃料</w:t>
      </w:r>
      <w:r>
        <w:rPr>
          <w:rFonts w:hint="eastAsia"/>
          <w:color w:val="auto"/>
          <w:lang w:val="en-US" w:eastAsia="zh-CN"/>
        </w:rPr>
        <w:t>的是</w:t>
      </w:r>
      <w:r>
        <w:rPr>
          <w:rFonts w:hint="eastAsia"/>
          <w:color w:val="auto"/>
        </w:rPr>
        <w:t xml:space="preserve">（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/>
          <w:color w:val="auto"/>
        </w:rPr>
        <w:t xml:space="preserve">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</w:rPr>
        <w:t>A</w:t>
      </w:r>
      <w:r>
        <w:rPr>
          <w:rFonts w:hint="eastAsia"/>
          <w:color w:val="auto"/>
          <w:u w:val="none"/>
        </w:rPr>
        <w:t>.汽油</w:t>
      </w:r>
      <w:r>
        <w:rPr>
          <w:rFonts w:hint="eastAsia"/>
          <w:color w:val="auto"/>
        </w:rPr>
        <w:t xml:space="preserve">      B.</w:t>
      </w:r>
      <w:r>
        <w:rPr>
          <w:rFonts w:hint="eastAsia"/>
          <w:color w:val="auto"/>
          <w:lang w:val="en-US" w:eastAsia="zh-CN"/>
        </w:rPr>
        <w:t xml:space="preserve"> 乙醇  </w:t>
      </w:r>
      <w:r>
        <w:rPr>
          <w:rFonts w:hint="eastAsia"/>
          <w:color w:val="auto"/>
        </w:rPr>
        <w:t>C.</w:t>
      </w:r>
      <w:r>
        <w:rPr>
          <w:rFonts w:hint="eastAsia"/>
          <w:color w:val="auto"/>
          <w:lang w:val="en-US" w:eastAsia="zh-CN"/>
        </w:rPr>
        <w:t>天然气   D</w:t>
      </w:r>
      <w:r>
        <w:rPr>
          <w:color w:val="auto"/>
        </w:rPr>
        <w:t>液化石油</w:t>
      </w:r>
      <w:r>
        <w:rPr>
          <w:rFonts w:hint="eastAsia"/>
          <w:color w:val="auto"/>
          <w:lang w:val="en-US" w:eastAsia="zh-CN"/>
        </w:rPr>
        <w:t>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1"/>
        </w:rPr>
        <w:t>6</w:t>
      </w:r>
      <w:r>
        <w:rPr>
          <w:color w:val="auto"/>
        </w:rPr>
        <w:t>对电池的均衡控制包括能量耗散型和能量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B 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型</w:t>
      </w:r>
      <w:r>
        <w:rPr>
          <w:rFonts w:hint="eastAsia"/>
          <w:color w:val="auto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03"/>
          <w:tab w:val="left" w:pos="2173"/>
          <w:tab w:val="left" w:pos="356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/>
          <w:color w:val="auto"/>
          <w:sz w:val="15"/>
          <w:szCs w:val="15"/>
          <w:lang w:val="en-US" w:eastAsia="zh-CN"/>
        </w:rPr>
      </w:pPr>
      <w:r>
        <w:rPr>
          <w:rFonts w:hint="eastAsia"/>
          <w:color w:val="auto"/>
          <w:lang w:val="en-US" w:eastAsia="zh-CN"/>
        </w:rPr>
        <w:t>A.增加</w:t>
      </w:r>
      <w:r>
        <w:rPr>
          <w:rFonts w:hint="eastAsia"/>
          <w:color w:val="auto"/>
          <w:sz w:val="15"/>
          <w:szCs w:val="15"/>
          <w:lang w:val="en-US" w:eastAsia="zh-CN"/>
        </w:rPr>
        <w:tab/>
      </w:r>
      <w:r>
        <w:rPr>
          <w:rFonts w:hint="eastAsia"/>
          <w:color w:val="auto"/>
          <w:sz w:val="15"/>
          <w:szCs w:val="15"/>
          <w:lang w:val="en-US" w:eastAsia="zh-CN"/>
        </w:rPr>
        <w:t xml:space="preserve">  </w:t>
      </w:r>
      <w:r>
        <w:rPr>
          <w:rFonts w:hint="eastAsia"/>
          <w:color w:val="auto"/>
          <w:lang w:val="en-US" w:eastAsia="zh-CN"/>
        </w:rPr>
        <w:t>B</w:t>
      </w:r>
      <w:r>
        <w:rPr>
          <w:rFonts w:hint="eastAsia"/>
          <w:color w:val="auto"/>
          <w:sz w:val="15"/>
          <w:szCs w:val="15"/>
          <w:lang w:val="en-US" w:eastAsia="zh-CN"/>
        </w:rPr>
        <w:t>.</w:t>
      </w:r>
      <w:r>
        <w:rPr>
          <w:color w:val="auto"/>
        </w:rPr>
        <w:t>转移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 xml:space="preserve">   C.减少</w:t>
      </w:r>
      <w:r>
        <w:rPr>
          <w:rFonts w:hint="eastAsia"/>
          <w:color w:val="auto"/>
          <w:sz w:val="15"/>
          <w:szCs w:val="15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D</w:t>
      </w:r>
      <w:r>
        <w:rPr>
          <w:rFonts w:hint="eastAsia"/>
          <w:color w:val="auto"/>
          <w:sz w:val="15"/>
          <w:szCs w:val="15"/>
          <w:lang w:val="en-US" w:eastAsia="zh-CN"/>
        </w:rPr>
        <w:t>.</w:t>
      </w:r>
      <w:r>
        <w:rPr>
          <w:rFonts w:hint="eastAsia"/>
          <w:color w:val="auto"/>
          <w:lang w:val="en-US" w:eastAsia="zh-CN"/>
        </w:rPr>
        <w:t>中和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03"/>
          <w:tab w:val="left" w:pos="2173"/>
          <w:tab w:val="left" w:pos="356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textAlignment w:val="auto"/>
        <w:rPr>
          <w:rFonts w:hint="eastAsia" w:eastAsia="宋体" w:cstheme="minorBidi"/>
          <w:color w:val="auto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ascii="宋体" w:hAnsi="宋体"/>
          <w:color w:val="auto"/>
          <w:sz w:val="24"/>
        </w:rPr>
        <w:t xml:space="preserve">. </w:t>
      </w:r>
      <w:r>
        <w:rPr>
          <w:color w:val="auto"/>
        </w:rPr>
        <w:t>整车热管理系统</w:t>
      </w:r>
      <w:r>
        <w:rPr>
          <w:rFonts w:hint="eastAsia"/>
          <w:color w:val="auto"/>
          <w:lang w:val="en-US" w:eastAsia="zh-CN"/>
        </w:rPr>
        <w:t>不包括（ D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firstLine="190" w:firstLineChars="100"/>
        <w:textAlignment w:val="auto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>A.</w:t>
      </w:r>
      <w:r>
        <w:rPr>
          <w:rFonts w:hint="eastAsia"/>
          <w:color w:val="auto"/>
          <w:u w:val="none"/>
        </w:rPr>
        <w:t>乘员舱</w:t>
      </w:r>
      <w:r>
        <w:rPr>
          <w:color w:val="auto"/>
          <w:u w:val="none"/>
        </w:rPr>
        <w:t>热管理</w:t>
      </w:r>
      <w:r>
        <w:rPr>
          <w:rFonts w:hint="eastAsia" w:cstheme="minorBidi"/>
          <w:color w:val="auto"/>
          <w:kern w:val="2"/>
          <w:sz w:val="21"/>
          <w:szCs w:val="24"/>
          <w:u w:val="none"/>
          <w:lang w:val="en-US" w:eastAsia="zh-CN" w:bidi="ar-SA"/>
        </w:rPr>
        <w:t xml:space="preserve">  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B.</w:t>
      </w:r>
      <w:r>
        <w:rPr>
          <w:rFonts w:hint="eastAsia"/>
          <w:color w:val="auto"/>
          <w:u w:val="none"/>
        </w:rPr>
        <w:t>电池</w:t>
      </w:r>
      <w:r>
        <w:rPr>
          <w:color w:val="auto"/>
          <w:u w:val="none"/>
        </w:rPr>
        <w:t>系统回路热管理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firstLine="190" w:firstLineChars="100"/>
        <w:textAlignment w:val="auto"/>
        <w:rPr>
          <w:rFonts w:hint="default" w:ascii="宋体" w:hAnsi="宋体"/>
          <w:color w:val="auto"/>
          <w:sz w:val="24"/>
          <w:lang w:val="en-US"/>
        </w:rPr>
      </w:pP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>C.</w:t>
      </w:r>
      <w:r>
        <w:rPr>
          <w:rFonts w:hint="eastAsia"/>
          <w:color w:val="auto"/>
          <w:u w:val="none"/>
        </w:rPr>
        <w:t>电驱</w:t>
      </w:r>
      <w:r>
        <w:rPr>
          <w:color w:val="auto"/>
          <w:u w:val="none"/>
        </w:rPr>
        <w:t>系统回路热管理</w:t>
      </w:r>
      <w:r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t xml:space="preserve">     D.油箱热管理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eastAsia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8、</w:t>
      </w:r>
      <w:r>
        <w:rPr>
          <w:color w:val="auto"/>
        </w:rPr>
        <w:t>新制造的三合一控制盒</w:t>
      </w:r>
      <w:r>
        <w:rPr>
          <w:rFonts w:hint="eastAsia"/>
          <w:color w:val="auto"/>
          <w:lang w:val="en-US" w:eastAsia="zh-CN"/>
        </w:rPr>
        <w:t>不包括（ C ）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color w:val="auto"/>
        </w:rPr>
        <w:t>高压控制盒</w:t>
      </w:r>
      <w:r>
        <w:rPr>
          <w:rFonts w:hint="eastAsia"/>
          <w:color w:val="auto"/>
          <w:lang w:val="en-US" w:eastAsia="zh-CN"/>
        </w:rPr>
        <w:t xml:space="preserve">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u w:val="none"/>
        </w:rPr>
        <w:t>车载充电机</w:t>
      </w:r>
      <w:r>
        <w:rPr>
          <w:rFonts w:hint="eastAsia"/>
          <w:color w:val="auto"/>
          <w:lang w:val="en-US" w:eastAsia="zh-CN"/>
        </w:rPr>
        <w:t>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压缩机    D</w:t>
      </w:r>
      <w:r>
        <w:rPr>
          <w:rFonts w:hint="default"/>
          <w:color w:val="auto"/>
          <w:lang w:val="en-US" w:eastAsia="zh-CN"/>
        </w:rPr>
        <w:t>、</w:t>
      </w:r>
      <w:r>
        <w:rPr>
          <w:color w:val="auto"/>
        </w:rPr>
        <w:t>DC/DC变换器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9、</w:t>
      </w:r>
      <w:r>
        <w:rPr>
          <w:rFonts w:hint="eastAsia"/>
          <w:color w:val="auto"/>
          <w:u w:val="none"/>
        </w:rPr>
        <w:t>充电截止</w:t>
      </w:r>
      <w:r>
        <w:rPr>
          <w:color w:val="auto"/>
          <w:u w:val="none"/>
        </w:rPr>
        <w:t>电</w:t>
      </w:r>
      <w:r>
        <w:rPr>
          <w:color w:val="auto"/>
        </w:rPr>
        <w:t>压是指电蓄电池正常充电时允许达到的</w:t>
      </w:r>
      <w:r>
        <w:rPr>
          <w:rFonts w:hint="default"/>
          <w:color w:val="auto"/>
          <w:lang w:val="en-US" w:eastAsia="zh-CN"/>
        </w:rPr>
        <w:t>（</w:t>
      </w:r>
      <w:r>
        <w:rPr>
          <w:rFonts w:hint="eastAsia"/>
          <w:color w:val="auto"/>
          <w:lang w:val="en-US" w:eastAsia="zh-CN"/>
        </w:rPr>
        <w:t xml:space="preserve"> B</w:t>
      </w:r>
      <w:r>
        <w:rPr>
          <w:rFonts w:hint="default"/>
          <w:color w:val="auto"/>
          <w:lang w:val="en-US" w:eastAsia="zh-CN"/>
        </w:rPr>
        <w:t xml:space="preserve"> ）</w:t>
      </w:r>
      <w:r>
        <w:rPr>
          <w:rFonts w:hint="eastAsia"/>
          <w:color w:val="auto"/>
          <w:lang w:val="en-US" w:eastAsia="zh-CN"/>
        </w:rPr>
        <w:t>电压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最低 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最高   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额定   D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平均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1</w:t>
      </w:r>
      <w:r>
        <w:rPr>
          <w:rFonts w:hint="eastAsia" w:ascii="宋体" w:hAnsi="宋体"/>
          <w:color w:val="auto"/>
          <w:szCs w:val="21"/>
          <w:lang w:val="en-US" w:eastAsia="zh-CN"/>
        </w:rPr>
        <w:t>0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A  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color w:val="auto"/>
        </w:rPr>
        <w:t>称为锂离子电池的“血液”，在锂电池的正负极之间起到传导电子的作用，是锂电池获得高电压、高比能等优点的保证。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A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电解质      B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电极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C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隔膜        D</w:t>
      </w:r>
      <w:r>
        <w:rPr>
          <w:rFonts w:hint="default"/>
          <w:color w:val="auto"/>
          <w:lang w:val="en-US" w:eastAsia="zh-CN"/>
        </w:rPr>
        <w:t>、</w:t>
      </w:r>
      <w:r>
        <w:rPr>
          <w:rFonts w:hint="eastAsia"/>
          <w:color w:val="auto"/>
          <w:lang w:val="en-US" w:eastAsia="zh-CN"/>
        </w:rPr>
        <w:t>外壳</w:t>
      </w:r>
    </w:p>
    <w:p>
      <w:pPr>
        <w:numPr>
          <w:ilvl w:val="0"/>
          <w:numId w:val="0"/>
        </w:numPr>
        <w:spacing w:line="240" w:lineRule="auto"/>
        <w:rPr>
          <w:rFonts w:hint="default"/>
          <w:b/>
          <w:bCs/>
          <w:color w:val="auto"/>
          <w:sz w:val="2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判断题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(每题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分，共20分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正确的画</w:t>
      </w:r>
      <w:r>
        <w:rPr>
          <w:rFonts w:hint="default" w:ascii="Arial" w:hAnsi="Arial" w:eastAsia="宋体" w:cs="Arial"/>
          <w:b/>
          <w:bCs/>
          <w:color w:val="auto"/>
          <w:sz w:val="24"/>
          <w:szCs w:val="24"/>
        </w:rPr>
        <w:t>√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，错误的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画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color w:val="auto"/>
        </w:rPr>
        <w:t>车辆VIN码的第十位表示车辆生产的年份。（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color w:val="auto"/>
        </w:rPr>
        <w:t>未经过高压安全培训的维修人员，不允许对高压部件进行维护。（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color w:val="auto"/>
        </w:rPr>
        <w:t>将电池温度控制在30到80度之间，能有效提高电池的使用寿命与可靠性。（</w:t>
      </w:r>
      <w:r>
        <w:rPr>
          <w:rFonts w:hint="eastAsia"/>
          <w:color w:val="auto"/>
        </w:rPr>
        <w:t>×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color w:val="auto"/>
        </w:rPr>
        <w:t>如果电池充放电不均衡，将严重影响动力蓄电池的性能。（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color w:val="auto"/>
        </w:rPr>
        <w:t>温度过低时，电池会发生放电困难。（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color w:val="auto"/>
        </w:rPr>
        <w:t>根据倍率放电的大小可分为：低倍率＜0.5C，0.5C≤中倍率＜3.5C，3.5C≤高倍率＜7C</w:t>
      </w:r>
      <w:r>
        <w:rPr>
          <w:rFonts w:hint="eastAsia"/>
          <w:color w:val="auto"/>
        </w:rPr>
        <w:t>。</w:t>
      </w:r>
      <w:r>
        <w:rPr>
          <w:color w:val="auto"/>
        </w:rPr>
        <w:t>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color w:val="auto"/>
        </w:rPr>
        <w:t>某电池的放电截至电压肯定比充电截至电压低。（</w:t>
      </w:r>
      <w:r>
        <w:rPr>
          <w:rFonts w:hint="eastAsia"/>
          <w:color w:val="auto"/>
        </w:rPr>
        <w:t>√</w:t>
      </w:r>
      <w:r>
        <w:rPr>
          <w:color w:val="auto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8.</w:t>
      </w:r>
      <w:r>
        <w:rPr>
          <w:color w:val="auto"/>
        </w:rPr>
        <w:t>锂金属电池就是锂离子电池。</w:t>
      </w:r>
      <w:r>
        <w:rPr>
          <w:rFonts w:hint="eastAsia"/>
          <w:color w:val="auto"/>
        </w:rPr>
        <w:t>（×）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9.</w:t>
      </w:r>
      <w:r>
        <w:rPr>
          <w:color w:val="auto"/>
        </w:rPr>
        <w:t>锂电池厂家都希望隔膜有较高的闭孔温度和较低的破膜温度。</w:t>
      </w:r>
      <w:r>
        <w:rPr>
          <w:rFonts w:hint="eastAsia"/>
          <w:color w:val="auto"/>
        </w:rPr>
        <w:t>（×）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>10.</w:t>
      </w:r>
      <w:r>
        <w:rPr>
          <w:color w:val="auto"/>
        </w:rPr>
        <w:t>镍氢电池有“记忆效应”。</w:t>
      </w:r>
      <w:r>
        <w:rPr>
          <w:color w:val="auto"/>
        </w:rPr>
        <w:tab/>
      </w:r>
      <w:r>
        <w:rPr>
          <w:rFonts w:hint="eastAsia"/>
          <w:color w:val="auto"/>
        </w:rPr>
        <w:t>（×）</w:t>
      </w:r>
    </w:p>
    <w:p>
      <w:pPr>
        <w:numPr>
          <w:ilvl w:val="0"/>
          <w:numId w:val="0"/>
        </w:numPr>
        <w:spacing w:line="360" w:lineRule="auto"/>
        <w:ind w:left="440" w:leftChars="0" w:hanging="440" w:hangingChars="200"/>
        <w:rPr>
          <w:rFonts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三、填空题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(每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空2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分，共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b/>
          <w:bCs/>
          <w:color w:val="auto"/>
          <w:sz w:val="24"/>
          <w:szCs w:val="24"/>
        </w:rPr>
        <w:t>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color w:val="auto"/>
        </w:rPr>
      </w:pPr>
      <w:r>
        <w:rPr>
          <w:rFonts w:hint="eastAsia" w:ascii="宋体" w:hAnsi="宋体"/>
          <w:color w:val="auto"/>
          <w:szCs w:val="21"/>
        </w:rPr>
        <w:t>1、</w:t>
      </w:r>
      <w:r>
        <w:rPr>
          <w:color w:val="auto"/>
        </w:rPr>
        <w:t>如果放电不完全就充电，就不</w:t>
      </w:r>
      <w:r>
        <w:rPr>
          <w:rFonts w:hint="eastAsia"/>
          <w:color w:val="auto"/>
        </w:rPr>
        <w:t>能放出全部电量。如放出</w:t>
      </w:r>
      <w:r>
        <w:rPr>
          <w:color w:val="auto"/>
        </w:rPr>
        <w:t>70%电量后再充足电，该电池只能放出70%的电量，这就是电池的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>记忆效应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90" w:hanging="190" w:hangingChars="100"/>
        <w:textAlignment w:val="auto"/>
        <w:rPr>
          <w:rFonts w:hint="eastAsia" w:ascii="宋体" w:hAnsi="宋体"/>
          <w:color w:val="auto"/>
          <w:szCs w:val="21"/>
          <w:u w:val="single"/>
        </w:rPr>
      </w:pPr>
      <w:r>
        <w:rPr>
          <w:rFonts w:hint="eastAsia" w:ascii="宋体" w:hAnsi="宋体"/>
          <w:color w:val="auto"/>
          <w:szCs w:val="21"/>
        </w:rPr>
        <w:t>2、</w:t>
      </w:r>
      <w:r>
        <w:rPr>
          <w:color w:val="auto"/>
        </w:rPr>
        <w:t>蓄电池实际放电20A.h，可用容量100A.h，该电池的DOD为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color w:val="auto"/>
          <w:u w:val="single"/>
        </w:rPr>
        <w:t>20</w:t>
      </w:r>
      <w:r>
        <w:rPr>
          <w:rFonts w:hint="eastAsia"/>
          <w:color w:val="auto"/>
          <w:u w:val="single"/>
        </w:rPr>
        <w:t>%</w:t>
      </w:r>
      <w:r>
        <w:rPr>
          <w:color w:val="auto"/>
        </w:rPr>
        <w:t>，SOC为</w:t>
      </w:r>
      <w:r>
        <w:rPr>
          <w:color w:val="auto"/>
          <w:u w:val="single"/>
        </w:rPr>
        <w:t>80</w:t>
      </w:r>
      <w:r>
        <w:rPr>
          <w:rFonts w:hint="eastAsia"/>
          <w:color w:val="auto"/>
          <w:u w:val="single"/>
        </w:rPr>
        <w:t>%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/>
          <w:color w:val="auto"/>
          <w:szCs w:val="21"/>
          <w:u w:val="single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3、</w:t>
      </w:r>
      <w:r>
        <w:rPr>
          <w:color w:val="auto"/>
        </w:rPr>
        <w:t>预充继电器触点线路和预充电阻的连接方式是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>串联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color w:val="auto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u w:val="single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4、</w:t>
      </w:r>
      <w:r>
        <w:rPr>
          <w:color w:val="auto"/>
        </w:rPr>
        <w:t>按照电解质的种类不同，蓄电池可以分为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rFonts w:hint="eastAsia"/>
          <w:color w:val="auto"/>
          <w:u w:val="single"/>
        </w:rPr>
        <w:t>酸性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color w:val="auto"/>
        </w:rPr>
        <w:t>电池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u w:val="single"/>
        </w:rPr>
        <w:t>碱性</w:t>
      </w:r>
      <w:r>
        <w:rPr>
          <w:rFonts w:hint="eastAsia"/>
          <w:color w:val="auto"/>
          <w:u w:val="single"/>
          <w:lang w:val="en-US" w:eastAsia="zh-CN"/>
        </w:rPr>
        <w:t xml:space="preserve">  </w:t>
      </w:r>
      <w:r>
        <w:rPr>
          <w:color w:val="auto"/>
        </w:rPr>
        <w:t>电池和</w:t>
      </w:r>
      <w:r>
        <w:rPr>
          <w:rFonts w:hint="eastAsia"/>
          <w:color w:val="auto"/>
          <w:u w:val="single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>中性</w:t>
      </w:r>
      <w:r>
        <w:rPr>
          <w:rFonts w:hint="eastAsia"/>
          <w:color w:val="auto"/>
          <w:u w:val="single"/>
          <w:lang w:val="en-US" w:eastAsia="zh-CN"/>
        </w:rPr>
        <w:t xml:space="preserve">   </w:t>
      </w:r>
      <w:r>
        <w:rPr>
          <w:color w:val="auto"/>
        </w:rPr>
        <w:t>电池和有机电解质电池。</w:t>
      </w:r>
    </w:p>
    <w:p>
      <w:pPr>
        <w:keepNext w:val="0"/>
        <w:keepLines w:val="0"/>
        <w:pageBreakBefore w:val="0"/>
        <w:widowControl w:val="0"/>
        <w:tabs>
          <w:tab w:val="left" w:pos="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5、</w:t>
      </w:r>
      <w:r>
        <w:rPr>
          <w:color w:val="auto"/>
        </w:rPr>
        <w:t>镍氢电池使用</w:t>
      </w:r>
      <w:r>
        <w:rPr>
          <w:rFonts w:hint="eastAsia"/>
          <w:color w:val="auto"/>
          <w:u w:val="single"/>
        </w:rPr>
        <w:t>氢氧化镍</w:t>
      </w:r>
      <w:r>
        <w:rPr>
          <w:color w:val="auto"/>
        </w:rPr>
        <w:t>作为正极活性物质，</w:t>
      </w:r>
      <w:r>
        <w:rPr>
          <w:rFonts w:hint="eastAsia"/>
          <w:color w:val="auto"/>
          <w:u w:val="single"/>
        </w:rPr>
        <w:t>储氢合金</w:t>
      </w:r>
      <w:r>
        <w:rPr>
          <w:color w:val="auto"/>
        </w:rPr>
        <w:t>作为负极活性物质，</w:t>
      </w:r>
      <w:r>
        <w:rPr>
          <w:rFonts w:hint="eastAsia"/>
          <w:color w:val="auto"/>
          <w:u w:val="single"/>
        </w:rPr>
        <w:t>氢氧化钾</w:t>
      </w:r>
      <w:r>
        <w:rPr>
          <w:color w:val="auto"/>
        </w:rPr>
        <w:t>水溶液作为电解质的一种绿色环保</w:t>
      </w:r>
      <w:r>
        <w:rPr>
          <w:rFonts w:hint="eastAsia"/>
          <w:color w:val="auto"/>
          <w:u w:val="none"/>
        </w:rPr>
        <w:t>碱</w:t>
      </w:r>
      <w:r>
        <w:rPr>
          <w:color w:val="auto"/>
        </w:rPr>
        <w:t>性电池。</w:t>
      </w:r>
    </w:p>
    <w:p>
      <w:pPr>
        <w:autoSpaceDN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autoSpaceDN w:val="0"/>
        <w:spacing w:line="360" w:lineRule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简答题（每题10分，共40分）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1. </w:t>
      </w:r>
      <w:r>
        <w:rPr>
          <w:color w:val="auto"/>
        </w:rPr>
        <w:t>画出北汽EV200纯电动汽车高压系统结构及线路连接。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color w:val="auto"/>
        </w:rPr>
        <w:drawing>
          <wp:inline distT="0" distB="0" distL="114300" distR="114300">
            <wp:extent cx="2901950" cy="1858010"/>
            <wp:effectExtent l="0" t="0" r="1270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l="35921" t="36742" r="33754" b="28754"/>
                    <a:stretch>
                      <a:fillRect/>
                    </a:stretch>
                  </pic:blipFill>
                  <pic:spPr>
                    <a:xfrm>
                      <a:off x="0" y="0"/>
                      <a:ext cx="290195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rPr>
          <w:color w:val="auto"/>
        </w:rPr>
      </w:pPr>
      <w:r>
        <w:rPr>
          <w:color w:val="auto"/>
        </w:rPr>
        <w:t>已知：某动力电池电芯电压3.2V，连接方式为2P100S，共10</w:t>
      </w:r>
      <w:r>
        <w:rPr>
          <w:rFonts w:hint="eastAsia"/>
          <w:color w:val="auto"/>
        </w:rPr>
        <w:t>个电池模组。</w:t>
      </w:r>
    </w:p>
    <w:p>
      <w:pPr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color w:val="auto"/>
        </w:rPr>
        <w:t>1）</w:t>
      </w:r>
      <w:r>
        <w:rPr>
          <w:rFonts w:hint="eastAsia"/>
          <w:color w:val="auto"/>
          <w:lang w:val="en-US" w:eastAsia="zh-CN"/>
        </w:rPr>
        <w:t>求</w:t>
      </w:r>
      <w:r>
        <w:rPr>
          <w:color w:val="auto"/>
        </w:rPr>
        <w:t>电芯数量</w:t>
      </w:r>
      <w:r>
        <w:rPr>
          <w:color w:val="auto"/>
          <w:u w:val="single"/>
        </w:rPr>
        <w:t>2</w:t>
      </w:r>
      <w:r>
        <w:rPr>
          <w:rFonts w:hint="eastAsia"/>
          <w:color w:val="auto"/>
          <w:u w:val="single"/>
        </w:rPr>
        <w:t>*</w:t>
      </w:r>
      <w:r>
        <w:rPr>
          <w:color w:val="auto"/>
          <w:u w:val="single"/>
        </w:rPr>
        <w:t>100</w:t>
      </w:r>
      <w:r>
        <w:rPr>
          <w:rFonts w:hint="eastAsia"/>
          <w:color w:val="auto"/>
          <w:u w:val="single"/>
        </w:rPr>
        <w:t>=</w:t>
      </w:r>
      <w:r>
        <w:rPr>
          <w:color w:val="auto"/>
          <w:u w:val="single"/>
        </w:rPr>
        <w:t>200</w:t>
      </w:r>
      <w:r>
        <w:rPr>
          <w:color w:val="auto"/>
        </w:rPr>
        <w:t xml:space="preserve">。 </w:t>
      </w:r>
    </w:p>
    <w:p>
      <w:pPr>
        <w:rPr>
          <w:color w:val="auto"/>
        </w:rPr>
      </w:pPr>
      <w:r>
        <w:rPr>
          <w:color w:val="auto"/>
        </w:rPr>
        <w:t>（2）</w:t>
      </w:r>
      <w:r>
        <w:rPr>
          <w:rFonts w:hint="eastAsia"/>
          <w:color w:val="auto"/>
          <w:lang w:val="en-US" w:eastAsia="zh-CN"/>
        </w:rPr>
        <w:t>求</w:t>
      </w:r>
      <w:r>
        <w:rPr>
          <w:color w:val="auto"/>
        </w:rPr>
        <w:t>单个电池模组的的电压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  <w:u w:val="single"/>
        </w:rPr>
        <w:t>3</w:t>
      </w:r>
      <w:r>
        <w:rPr>
          <w:color w:val="auto"/>
          <w:u w:val="single"/>
        </w:rPr>
        <w:t>.2</w:t>
      </w:r>
      <w:r>
        <w:rPr>
          <w:rFonts w:hint="eastAsia"/>
          <w:color w:val="auto"/>
          <w:u w:val="single"/>
        </w:rPr>
        <w:t>*</w:t>
      </w:r>
      <w:r>
        <w:rPr>
          <w:color w:val="auto"/>
          <w:u w:val="single"/>
        </w:rPr>
        <w:t>100/10</w:t>
      </w:r>
      <w:r>
        <w:rPr>
          <w:rFonts w:hint="eastAsia"/>
          <w:color w:val="auto"/>
          <w:u w:val="single"/>
        </w:rPr>
        <w:t>=</w:t>
      </w:r>
      <w:r>
        <w:rPr>
          <w:color w:val="auto"/>
          <w:u w:val="single"/>
        </w:rPr>
        <w:t>32</w:t>
      </w:r>
      <w:r>
        <w:rPr>
          <w:rFonts w:hint="eastAsia"/>
          <w:color w:val="auto"/>
          <w:u w:val="single"/>
        </w:rPr>
        <w:t>V</w:t>
      </w:r>
      <w:r>
        <w:rPr>
          <w:color w:val="auto"/>
        </w:rPr>
        <w:t xml:space="preserve">。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  <w:r>
        <w:rPr>
          <w:color w:val="auto"/>
        </w:rPr>
        <w:t>（3）动力电池的电压</w:t>
      </w:r>
      <w:r>
        <w:rPr>
          <w:rFonts w:hint="eastAsia"/>
          <w:color w:val="auto"/>
          <w:u w:val="single"/>
        </w:rPr>
        <w:t>3</w:t>
      </w:r>
      <w:r>
        <w:rPr>
          <w:color w:val="auto"/>
          <w:u w:val="single"/>
        </w:rPr>
        <w:t>.2</w:t>
      </w:r>
      <w:r>
        <w:rPr>
          <w:rFonts w:hint="eastAsia"/>
          <w:color w:val="auto"/>
          <w:u w:val="single"/>
        </w:rPr>
        <w:t>*</w:t>
      </w:r>
      <w:r>
        <w:rPr>
          <w:color w:val="auto"/>
          <w:u w:val="single"/>
        </w:rPr>
        <w:t>100</w:t>
      </w:r>
      <w:r>
        <w:rPr>
          <w:rFonts w:hint="eastAsia"/>
          <w:color w:val="auto"/>
          <w:u w:val="single"/>
        </w:rPr>
        <w:t>=</w:t>
      </w:r>
      <w:r>
        <w:rPr>
          <w:color w:val="auto"/>
          <w:u w:val="single"/>
        </w:rPr>
        <w:t>320</w:t>
      </w:r>
      <w:r>
        <w:rPr>
          <w:rFonts w:hint="eastAsia"/>
          <w:color w:val="auto"/>
          <w:u w:val="single"/>
        </w:rPr>
        <w:t>V</w:t>
      </w:r>
      <w:r>
        <w:rPr>
          <w:color w:val="auto"/>
        </w:rPr>
        <w:t xml:space="preserve">。 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宋体" w:hAnsi="宋体"/>
          <w:color w:val="auto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列举几种（至少三种）常见的蓄电池的充</w:t>
      </w:r>
      <w:r>
        <w:rPr>
          <w:rFonts w:hint="eastAsia"/>
          <w:color w:val="auto"/>
        </w:rPr>
        <w:t>电截止电压和放电截止电压。</w:t>
      </w:r>
    </w:p>
    <w:p>
      <w:pPr>
        <w:autoSpaceDN w:val="0"/>
        <w:spacing w:line="360" w:lineRule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（1）镍氢电池：充电截止电压1.5v ，放电截止电压1v 。</w:t>
      </w:r>
    </w:p>
    <w:p>
      <w:pPr>
        <w:autoSpaceDN w:val="0"/>
        <w:spacing w:line="360" w:lineRule="auto"/>
        <w:ind w:firstLine="190" w:firstLineChars="1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（2）铅酸电池：充电截止电压2.3v ，放电截止电压1.75v 。</w:t>
      </w:r>
    </w:p>
    <w:p>
      <w:pPr>
        <w:autoSpaceDN w:val="0"/>
        <w:spacing w:line="360" w:lineRule="auto"/>
        <w:ind w:firstLine="190" w:firstLineChars="1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（3）三元锂电池：充电截止电压4.25v ，放电截止电压3v 。</w:t>
      </w:r>
    </w:p>
    <w:p>
      <w:pPr>
        <w:autoSpaceDN w:val="0"/>
        <w:spacing w:line="360" w:lineRule="auto"/>
        <w:rPr>
          <w:rFonts w:hint="eastAsia"/>
          <w:color w:val="auto"/>
          <w:lang w:val="en-US" w:eastAsia="zh-CN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autoSpaceDN w:val="0"/>
        <w:spacing w:line="360" w:lineRule="auto"/>
        <w:rPr>
          <w:color w:val="auto"/>
        </w:rPr>
      </w:pPr>
    </w:p>
    <w:p>
      <w:pPr>
        <w:numPr>
          <w:ilvl w:val="0"/>
          <w:numId w:val="2"/>
        </w:numPr>
        <w:autoSpaceDN w:val="0"/>
        <w:spacing w:line="360" w:lineRule="auto"/>
        <w:ind w:left="0" w:leftChars="0" w:firstLine="0" w:firstLineChars="0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介绍电芯均衡控制的方法。</w:t>
      </w:r>
    </w:p>
    <w:p>
      <w:pPr>
        <w:autoSpaceDN w:val="0"/>
        <w:spacing w:line="360" w:lineRule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对电池的均衡控制包括能量耗散型和能量转移型（非耗散型）。</w:t>
      </w:r>
    </w:p>
    <w:p>
      <w:pPr>
        <w:ind w:firstLine="380" w:firstLineChars="200"/>
        <w:rPr>
          <w:color w:val="auto"/>
        </w:rPr>
      </w:pPr>
      <w:r>
        <w:rPr>
          <w:rFonts w:hint="eastAsia"/>
          <w:color w:val="auto"/>
        </w:rPr>
        <w:t>能量耗散型电池均衡控制是利用电池组内单体电池自消耗放电，使电压过高的单体电池进行能量消耗，来平衡电池组内各单体电池间电压相等。每个单体电池都串联一个电阻和一个开关（三极管的开关特性），当该单体电池电压过高时，</w:t>
      </w:r>
      <w:r>
        <w:rPr>
          <w:color w:val="auto"/>
        </w:rPr>
        <w:t>BMS控制其开关闭合，将电能转换为热能来降低单体电池的电压，实现均衡控制。</w:t>
      </w:r>
    </w:p>
    <w:p>
      <w:pPr>
        <w:numPr>
          <w:ilvl w:val="0"/>
          <w:numId w:val="0"/>
        </w:numPr>
        <w:ind w:firstLine="380" w:firstLineChars="20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color w:val="auto"/>
        </w:rPr>
        <w:t>能量非耗散型的电池均衡，也称为能量转移型电池均衡。将电能从已经充满的电池转移至相邻的电池，可以防止充满</w:t>
      </w:r>
      <w:r>
        <w:rPr>
          <w:rFonts w:hint="eastAsia"/>
          <w:color w:val="auto"/>
        </w:rPr>
        <w:t>电的电池过充电。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240" w:lineRule="exact"/>
        <w:rPr>
          <w:color w:val="auto"/>
          <w:sz w:val="18"/>
          <w:szCs w:val="18"/>
        </w:rPr>
      </w:pPr>
    </w:p>
    <w:p/>
    <w:sectPr>
      <w:headerReference r:id="rId3" w:type="default"/>
      <w:footerReference r:id="rId4" w:type="default"/>
      <w:pgSz w:w="16838" w:h="11906" w:orient="landscape"/>
      <w:pgMar w:top="1134" w:right="1417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hint="eastAsia"/>
        <w:sz w:val="18"/>
      </w:rPr>
    </w:pPr>
    <w:r>
      <w:rPr>
        <w:rFonts w:hint="eastAsia"/>
        <w:sz w:val="18"/>
      </w:rPr>
      <w:t>《</w:t>
    </w:r>
    <w:r>
      <w:rPr>
        <w:rFonts w:hint="eastAsia"/>
        <w:b w:val="0"/>
        <w:bCs w:val="0"/>
        <w:sz w:val="18"/>
        <w:u w:val="none"/>
        <w:lang w:val="en-US" w:eastAsia="zh-CN"/>
      </w:rPr>
      <w:t xml:space="preserve">  汽车电池</w:t>
    </w:r>
    <w:r>
      <w:rPr>
        <w:rFonts w:hint="eastAsia"/>
        <w:sz w:val="18"/>
        <w:lang w:val="en-US" w:eastAsia="zh-CN"/>
      </w:rPr>
      <w:t xml:space="preserve"> 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  <w:lang w:val="en-US" w:eastAsia="zh-CN"/>
      </w:rPr>
      <w:t>2</w:t>
    </w:r>
    <w:r>
      <w:rPr>
        <w:rFonts w:hint="eastAsia"/>
        <w:sz w:val="18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一</w:t>
    </w:r>
    <w:r>
      <w:rPr>
        <w:rFonts w:hint="eastAsia" w:eastAsia="黑体"/>
        <w:sz w:val="21"/>
      </w:rPr>
      <w:t>学期期末考试卷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7EF9"/>
    <w:multiLevelType w:val="singleLevel"/>
    <w:tmpl w:val="1BAD7E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5941B5"/>
    <w:multiLevelType w:val="singleLevel"/>
    <w:tmpl w:val="5F5941B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301ED"/>
    <w:rsid w:val="1E7301ED"/>
    <w:rsid w:val="47ED7CD2"/>
    <w:rsid w:val="57782B45"/>
    <w:rsid w:val="65463304"/>
    <w:rsid w:val="7DBB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2024-12-09T11:41:00Z</dcterms:created>
  <dc:creator>Administrator</dc:creator>
  <cp:lastModifiedBy>Administrator</cp:lastModifiedBy>
  <dcterms:modified xsi:type="dcterms:W3CDTF">2024-12-09T11:54:32Z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